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4C4" w:rsidRPr="00E02897" w:rsidRDefault="006544C4" w:rsidP="00201B2B">
      <w:pPr>
        <w:jc w:val="center"/>
        <w:rPr>
          <w:lang w:val="fr-FR"/>
        </w:rPr>
      </w:pPr>
      <w:bookmarkStart w:id="0" w:name="_GoBack"/>
      <w:bookmarkEnd w:id="0"/>
    </w:p>
    <w:p w:rsidR="006544C4" w:rsidRPr="00E02897" w:rsidRDefault="006544C4" w:rsidP="00201B2B">
      <w:pPr>
        <w:jc w:val="center"/>
        <w:rPr>
          <w:lang w:val="fr-FR"/>
        </w:rPr>
      </w:pPr>
    </w:p>
    <w:p w:rsidR="006544C4" w:rsidRPr="00E02897" w:rsidRDefault="00201B2B" w:rsidP="00201B2B">
      <w:pPr>
        <w:pStyle w:val="DecHTitle"/>
        <w:rPr>
          <w:lang w:val="fr-FR"/>
        </w:rPr>
      </w:pPr>
      <w:r>
        <w:rPr>
          <w:szCs w:val="24"/>
          <w:lang w:val="fr-FR"/>
        </w:rPr>
        <w:t>DEUXIÈME SECTION</w:t>
      </w:r>
    </w:p>
    <w:p w:rsidR="006544C4" w:rsidRPr="00E02897" w:rsidRDefault="006544C4" w:rsidP="00201B2B">
      <w:pPr>
        <w:pStyle w:val="DecHTitle"/>
        <w:rPr>
          <w:caps/>
          <w:sz w:val="32"/>
          <w:lang w:val="fr-FR"/>
        </w:rPr>
      </w:pPr>
      <w:r w:rsidRPr="00E02897">
        <w:rPr>
          <w:lang w:val="fr-FR"/>
        </w:rPr>
        <w:t>DÉCISION</w:t>
      </w:r>
    </w:p>
    <w:p w:rsidR="006544C4" w:rsidRPr="00201B2B" w:rsidRDefault="00201B2B" w:rsidP="00201B2B">
      <w:pPr>
        <w:pStyle w:val="ECHRTitleCentre2"/>
        <w:rPr>
          <w:lang w:val="fr-FR"/>
        </w:rPr>
      </w:pPr>
      <w:r w:rsidRPr="00201B2B">
        <w:rPr>
          <w:lang w:val="fr-FR"/>
        </w:rPr>
        <w:t>Requête n</w:t>
      </w:r>
      <w:r w:rsidRPr="00201B2B">
        <w:rPr>
          <w:vertAlign w:val="superscript"/>
          <w:lang w:val="fr-FR"/>
        </w:rPr>
        <w:t>o</w:t>
      </w:r>
      <w:r w:rsidR="006544C4" w:rsidRPr="00201B2B">
        <w:rPr>
          <w:lang w:val="fr-FR"/>
        </w:rPr>
        <w:t xml:space="preserve"> </w:t>
      </w:r>
      <w:r w:rsidRPr="00201B2B">
        <w:rPr>
          <w:lang w:val="fr-FR"/>
        </w:rPr>
        <w:t>29100/07</w:t>
      </w:r>
      <w:r w:rsidR="006544C4" w:rsidRPr="00201B2B">
        <w:rPr>
          <w:lang w:val="fr-FR"/>
        </w:rPr>
        <w:br/>
      </w:r>
      <w:r w:rsidRPr="00201B2B">
        <w:rPr>
          <w:lang w:val="fr-FR"/>
        </w:rPr>
        <w:t>Esterina MARRO et autres</w:t>
      </w:r>
      <w:r w:rsidRPr="00201B2B">
        <w:rPr>
          <w:lang w:val="fr-FR"/>
        </w:rPr>
        <w:br/>
      </w:r>
      <w:r w:rsidR="006544C4" w:rsidRPr="00201B2B">
        <w:rPr>
          <w:lang w:val="fr-FR"/>
        </w:rPr>
        <w:t xml:space="preserve">contre </w:t>
      </w:r>
      <w:r w:rsidRPr="00201B2B">
        <w:rPr>
          <w:lang w:val="fr-FR"/>
        </w:rPr>
        <w:t>l</w:t>
      </w:r>
      <w:r w:rsidR="00014593">
        <w:rPr>
          <w:lang w:val="fr-FR"/>
        </w:rPr>
        <w:t>’</w:t>
      </w:r>
      <w:r w:rsidRPr="00201B2B">
        <w:rPr>
          <w:lang w:val="fr-FR"/>
        </w:rPr>
        <w:t>Italie</w:t>
      </w:r>
    </w:p>
    <w:p w:rsidR="00201B2B" w:rsidRPr="00764BB5" w:rsidRDefault="00201B2B" w:rsidP="00201B2B">
      <w:pPr>
        <w:pStyle w:val="JuParaChar"/>
        <w:rPr>
          <w:lang w:val="fr-FR"/>
        </w:rPr>
      </w:pPr>
      <w:r w:rsidRPr="00764BB5">
        <w:rPr>
          <w:lang w:val="fr-FR"/>
        </w:rPr>
        <w:t>La Cour européenne des droits de l</w:t>
      </w:r>
      <w:r w:rsidR="00014593">
        <w:rPr>
          <w:lang w:val="fr-FR"/>
        </w:rPr>
        <w:t>’</w:t>
      </w:r>
      <w:r w:rsidRPr="00764BB5">
        <w:rPr>
          <w:lang w:val="fr-FR"/>
        </w:rPr>
        <w:t>homme (</w:t>
      </w:r>
      <w:r>
        <w:rPr>
          <w:lang w:val="fr-FR"/>
        </w:rPr>
        <w:t>deuxième section</w:t>
      </w:r>
      <w:r w:rsidRPr="00764BB5">
        <w:rPr>
          <w:lang w:val="fr-FR"/>
        </w:rPr>
        <w:t>), siégeant le</w:t>
      </w:r>
      <w:r>
        <w:rPr>
          <w:lang w:val="fr-FR"/>
        </w:rPr>
        <w:t xml:space="preserve"> 8 avril 2014</w:t>
      </w:r>
      <w:r w:rsidR="00101152">
        <w:rPr>
          <w:lang w:val="fr-FR"/>
        </w:rPr>
        <w:t xml:space="preserve"> </w:t>
      </w:r>
      <w:r w:rsidRPr="00764BB5">
        <w:rPr>
          <w:lang w:val="fr-FR"/>
        </w:rPr>
        <w:t xml:space="preserve">en une </w:t>
      </w:r>
      <w:r>
        <w:rPr>
          <w:lang w:val="fr-FR"/>
        </w:rPr>
        <w:t>chambre</w:t>
      </w:r>
      <w:r w:rsidRPr="00764BB5">
        <w:rPr>
          <w:lang w:val="fr-FR"/>
        </w:rPr>
        <w:t xml:space="preserve"> composée de :</w:t>
      </w:r>
    </w:p>
    <w:p w:rsidR="00201B2B" w:rsidRPr="00201B2B" w:rsidRDefault="00201B2B" w:rsidP="00201B2B">
      <w:pPr>
        <w:pStyle w:val="JuParaChar"/>
        <w:rPr>
          <w:lang w:val="it-IT"/>
        </w:rPr>
      </w:pPr>
      <w:r w:rsidRPr="00201B2B">
        <w:rPr>
          <w:lang w:val="it-IT"/>
        </w:rPr>
        <w:t>Işıl Karakaş, présidente,</w:t>
      </w:r>
    </w:p>
    <w:p w:rsidR="00201B2B" w:rsidRPr="00201B2B" w:rsidRDefault="00201B2B" w:rsidP="00201B2B">
      <w:pPr>
        <w:pStyle w:val="JuParaChar"/>
        <w:rPr>
          <w:lang w:val="it-IT"/>
        </w:rPr>
      </w:pPr>
      <w:r w:rsidRPr="00201B2B">
        <w:rPr>
          <w:lang w:val="it-IT"/>
        </w:rPr>
        <w:t>Guido Raimondi,</w:t>
      </w:r>
    </w:p>
    <w:p w:rsidR="00201B2B" w:rsidRPr="00201B2B" w:rsidRDefault="00201B2B" w:rsidP="00201B2B">
      <w:pPr>
        <w:pStyle w:val="JuParaChar"/>
        <w:rPr>
          <w:lang w:val="it-IT"/>
        </w:rPr>
      </w:pPr>
      <w:r w:rsidRPr="00201B2B">
        <w:rPr>
          <w:lang w:val="it-IT"/>
        </w:rPr>
        <w:t>András Sajó,</w:t>
      </w:r>
    </w:p>
    <w:p w:rsidR="00201B2B" w:rsidRPr="00201B2B" w:rsidRDefault="00201B2B" w:rsidP="00201B2B">
      <w:pPr>
        <w:pStyle w:val="JuParaChar"/>
        <w:rPr>
          <w:lang w:val="it-IT"/>
        </w:rPr>
      </w:pPr>
      <w:r w:rsidRPr="00201B2B">
        <w:rPr>
          <w:lang w:val="it-IT"/>
        </w:rPr>
        <w:t>Nebojša Vučinić,</w:t>
      </w:r>
    </w:p>
    <w:p w:rsidR="00201B2B" w:rsidRPr="00EB22ED" w:rsidRDefault="00201B2B" w:rsidP="00201B2B">
      <w:pPr>
        <w:pStyle w:val="JuParaChar"/>
        <w:rPr>
          <w:lang w:val="it-IT"/>
        </w:rPr>
      </w:pPr>
      <w:r w:rsidRPr="00EB22ED">
        <w:rPr>
          <w:lang w:val="it-IT"/>
        </w:rPr>
        <w:t>Paul Lemmens,</w:t>
      </w:r>
    </w:p>
    <w:p w:rsidR="00201B2B" w:rsidRPr="007872C6" w:rsidRDefault="00201B2B" w:rsidP="00201B2B">
      <w:pPr>
        <w:pStyle w:val="JuParaChar"/>
        <w:rPr>
          <w:lang w:val="it-IT"/>
        </w:rPr>
      </w:pPr>
      <w:r w:rsidRPr="007872C6">
        <w:rPr>
          <w:lang w:val="it-IT"/>
        </w:rPr>
        <w:t>Egidijus Kūris,</w:t>
      </w:r>
    </w:p>
    <w:p w:rsidR="00201B2B" w:rsidRPr="00886F4C" w:rsidRDefault="00201B2B" w:rsidP="00201B2B">
      <w:pPr>
        <w:pStyle w:val="JuParaChar"/>
        <w:jc w:val="left"/>
        <w:rPr>
          <w:iCs/>
          <w:lang w:val="fr-FR"/>
        </w:rPr>
      </w:pPr>
      <w:r w:rsidRPr="00201B2B">
        <w:rPr>
          <w:lang w:val="fr-FR"/>
        </w:rPr>
        <w:t>Robert Spano, juges,</w:t>
      </w:r>
      <w:r w:rsidR="00101152" w:rsidRPr="00764BB5">
        <w:rPr>
          <w:lang w:val="fr-FR"/>
        </w:rPr>
        <w:t xml:space="preserve"> </w:t>
      </w:r>
      <w:r w:rsidRPr="00764BB5">
        <w:rPr>
          <w:lang w:val="fr-FR"/>
        </w:rPr>
        <w:br/>
        <w:t xml:space="preserve">et de </w:t>
      </w:r>
      <w:r>
        <w:rPr>
          <w:lang w:val="fr-FR"/>
        </w:rPr>
        <w:t>Stanley</w:t>
      </w:r>
      <w:r w:rsidRPr="00764BB5">
        <w:rPr>
          <w:lang w:val="fr-FR"/>
        </w:rPr>
        <w:t xml:space="preserve"> </w:t>
      </w:r>
      <w:r>
        <w:rPr>
          <w:lang w:val="fr-FR"/>
        </w:rPr>
        <w:t>Naismith</w:t>
      </w:r>
      <w:r w:rsidRPr="00764BB5">
        <w:rPr>
          <w:lang w:val="fr-FR"/>
        </w:rPr>
        <w:t xml:space="preserve">, </w:t>
      </w:r>
      <w:r w:rsidRPr="00764BB5">
        <w:rPr>
          <w:i/>
          <w:lang w:val="fr-FR"/>
        </w:rPr>
        <w:t>greffier de section</w:t>
      </w:r>
      <w:r w:rsidRPr="00764BB5">
        <w:rPr>
          <w:lang w:val="fr-FR"/>
        </w:rPr>
        <w:t>,</w:t>
      </w:r>
    </w:p>
    <w:p w:rsidR="00201B2B" w:rsidRPr="00764BB5" w:rsidRDefault="00201B2B" w:rsidP="00201B2B">
      <w:pPr>
        <w:pStyle w:val="JuParaChar"/>
        <w:rPr>
          <w:lang w:val="fr-FR"/>
        </w:rPr>
      </w:pPr>
      <w:r w:rsidRPr="00764BB5">
        <w:rPr>
          <w:lang w:val="fr-FR"/>
        </w:rPr>
        <w:t xml:space="preserve">Vu la requête susmentionnée introduite le </w:t>
      </w:r>
      <w:r>
        <w:rPr>
          <w:lang w:val="fr-FR"/>
        </w:rPr>
        <w:t>2 juillet 2007</w:t>
      </w:r>
      <w:r w:rsidRPr="00764BB5">
        <w:rPr>
          <w:lang w:val="fr-FR"/>
        </w:rPr>
        <w:t>,</w:t>
      </w:r>
    </w:p>
    <w:p w:rsidR="00201B2B" w:rsidRPr="00764BB5" w:rsidRDefault="00201B2B" w:rsidP="00201B2B">
      <w:pPr>
        <w:pStyle w:val="JuParaChar"/>
        <w:rPr>
          <w:lang w:val="fr-FR"/>
        </w:rPr>
      </w:pPr>
      <w:r w:rsidRPr="00764BB5">
        <w:rPr>
          <w:lang w:val="fr-FR"/>
        </w:rPr>
        <w:t>Vu les observations soumises par le gouvernement défendeur et celles présentées en réponse par les requérants,</w:t>
      </w:r>
    </w:p>
    <w:p w:rsidR="00201B2B" w:rsidRPr="00764BB5" w:rsidRDefault="00201B2B" w:rsidP="00201B2B">
      <w:pPr>
        <w:pStyle w:val="JuParaChar"/>
        <w:rPr>
          <w:lang w:val="fr-FR"/>
        </w:rPr>
      </w:pPr>
      <w:r w:rsidRPr="00764BB5">
        <w:rPr>
          <w:lang w:val="fr-FR"/>
        </w:rPr>
        <w:t>Après en avoir délibéré, rend la décision suivante :</w:t>
      </w:r>
    </w:p>
    <w:p w:rsidR="00201B2B" w:rsidRPr="00201B2B" w:rsidRDefault="00201B2B" w:rsidP="00201B2B">
      <w:pPr>
        <w:pStyle w:val="ECHRTitle1"/>
        <w:rPr>
          <w:lang w:val="fr-FR"/>
        </w:rPr>
      </w:pPr>
      <w:r w:rsidRPr="00201B2B">
        <w:rPr>
          <w:lang w:val="fr-FR"/>
        </w:rPr>
        <w:t>EN FAIT</w:t>
      </w:r>
    </w:p>
    <w:p w:rsidR="00201B2B" w:rsidRPr="00201B2B" w:rsidRDefault="00201B2B" w:rsidP="00201B2B">
      <w:pPr>
        <w:pStyle w:val="ECHRPara"/>
        <w:rPr>
          <w:lang w:val="fr-FR"/>
        </w:rPr>
      </w:pPr>
      <w:r w:rsidRPr="00201B2B">
        <w:rPr>
          <w:lang w:val="fr-FR"/>
        </w:rPr>
        <w:t>1.  La liste des requérants figure en annexe. Ils sont représentés devant la Cour par M</w:t>
      </w:r>
      <w:r w:rsidRPr="00201B2B">
        <w:rPr>
          <w:vertAlign w:val="superscript"/>
          <w:lang w:val="fr-FR"/>
        </w:rPr>
        <w:t>es</w:t>
      </w:r>
      <w:r w:rsidRPr="00201B2B">
        <w:rPr>
          <w:lang w:val="fr-FR"/>
        </w:rPr>
        <w:t xml:space="preserve"> D. et G. Novarini, avocats à Broni (Pavie).</w:t>
      </w:r>
    </w:p>
    <w:p w:rsidR="00201B2B" w:rsidRPr="00201B2B" w:rsidRDefault="00201B2B" w:rsidP="00201B2B">
      <w:pPr>
        <w:pStyle w:val="ECHRPara"/>
        <w:rPr>
          <w:lang w:val="fr-FR"/>
        </w:rPr>
      </w:pPr>
      <w:r w:rsidRPr="00201B2B">
        <w:rPr>
          <w:lang w:val="fr-FR"/>
        </w:rPr>
        <w:t>2.  Le gouvernement italien (« le Gouvernement ») est représenté par son agente, M</w:t>
      </w:r>
      <w:r w:rsidRPr="00201B2B">
        <w:rPr>
          <w:vertAlign w:val="superscript"/>
          <w:lang w:val="fr-FR"/>
        </w:rPr>
        <w:t>me</w:t>
      </w:r>
      <w:r w:rsidRPr="00201B2B">
        <w:rPr>
          <w:lang w:val="fr-FR"/>
        </w:rPr>
        <w:t xml:space="preserve"> E. Spatafora.</w:t>
      </w:r>
    </w:p>
    <w:p w:rsidR="00201B2B" w:rsidRPr="00201B2B" w:rsidRDefault="00201B2B" w:rsidP="00201B2B">
      <w:pPr>
        <w:pStyle w:val="ECHRHeading2"/>
        <w:rPr>
          <w:lang w:val="fr-FR"/>
        </w:rPr>
      </w:pPr>
      <w:r w:rsidRPr="00201B2B">
        <w:rPr>
          <w:lang w:val="fr-FR"/>
        </w:rPr>
        <w:t>A.  Les circonstances de l</w:t>
      </w:r>
      <w:r w:rsidR="00014593">
        <w:rPr>
          <w:lang w:val="fr-FR"/>
        </w:rPr>
        <w:t>’</w:t>
      </w:r>
      <w:r w:rsidRPr="00201B2B">
        <w:rPr>
          <w:lang w:val="fr-FR"/>
        </w:rPr>
        <w:t>espèce</w:t>
      </w:r>
    </w:p>
    <w:p w:rsidR="00201B2B" w:rsidRPr="00764BB5" w:rsidRDefault="00201B2B" w:rsidP="00201B2B">
      <w:pPr>
        <w:pStyle w:val="JuParaChar"/>
        <w:rPr>
          <w:lang w:val="fr-FR"/>
        </w:rPr>
      </w:pPr>
      <w:r>
        <w:rPr>
          <w:lang w:val="fr-FR"/>
        </w:rPr>
        <w:t>3.  </w:t>
      </w:r>
      <w:r w:rsidRPr="00764BB5">
        <w:rPr>
          <w:lang w:val="fr-FR"/>
        </w:rPr>
        <w:t>Les faits de la cause, tels qu</w:t>
      </w:r>
      <w:r w:rsidR="00014593">
        <w:rPr>
          <w:lang w:val="fr-FR"/>
        </w:rPr>
        <w:t>’</w:t>
      </w:r>
      <w:r w:rsidRPr="00764BB5">
        <w:rPr>
          <w:lang w:val="fr-FR"/>
        </w:rPr>
        <w:t>ils ont été exposés par les parties, peuvent se résumer comme suit.</w:t>
      </w:r>
    </w:p>
    <w:p w:rsidR="00201B2B" w:rsidRPr="00201B2B" w:rsidRDefault="00201B2B" w:rsidP="00201B2B">
      <w:pPr>
        <w:pStyle w:val="ECHRPara"/>
        <w:rPr>
          <w:lang w:val="fr-FR"/>
        </w:rPr>
      </w:pPr>
      <w:r w:rsidRPr="00201B2B">
        <w:rPr>
          <w:lang w:val="fr-FR"/>
        </w:rPr>
        <w:lastRenderedPageBreak/>
        <w:t>4.  La première requérante (M</w:t>
      </w:r>
      <w:r w:rsidRPr="00201B2B">
        <w:rPr>
          <w:vertAlign w:val="superscript"/>
          <w:lang w:val="fr-FR"/>
        </w:rPr>
        <w:t>me</w:t>
      </w:r>
      <w:r w:rsidRPr="00201B2B">
        <w:rPr>
          <w:lang w:val="fr-FR"/>
        </w:rPr>
        <w:t xml:space="preserve"> Esterina Marro) est la mère de M. Sergio Marra, né le 27 juillet 1972. Les autres requérants sont les frères et sœur de ce dernier.</w:t>
      </w:r>
    </w:p>
    <w:p w:rsidR="00201B2B" w:rsidRPr="00201B2B" w:rsidRDefault="00201B2B" w:rsidP="00201B2B">
      <w:pPr>
        <w:pStyle w:val="ECHRPara"/>
        <w:rPr>
          <w:lang w:val="fr-FR"/>
        </w:rPr>
      </w:pPr>
      <w:r w:rsidRPr="00201B2B">
        <w:rPr>
          <w:lang w:val="fr-FR"/>
        </w:rPr>
        <w:t>5.  À une date non précisée, les requérants déposèrent plainte contre M. Sergio Marra, qui depuis longtemps faisait usage de stupéfiants. Ils déclarèrent avoir pris cette initiative afin d</w:t>
      </w:r>
      <w:r w:rsidR="00014593">
        <w:rPr>
          <w:lang w:val="fr-FR"/>
        </w:rPr>
        <w:t>’</w:t>
      </w:r>
      <w:r w:rsidRPr="00201B2B">
        <w:rPr>
          <w:lang w:val="fr-FR"/>
        </w:rPr>
        <w:t>éloigner leur proche des toxicomanes qu</w:t>
      </w:r>
      <w:r w:rsidR="00014593">
        <w:rPr>
          <w:lang w:val="fr-FR"/>
        </w:rPr>
        <w:t>’</w:t>
      </w:r>
      <w:r w:rsidRPr="00201B2B">
        <w:rPr>
          <w:lang w:val="fr-FR"/>
        </w:rPr>
        <w:t>il fréquentait.</w:t>
      </w:r>
    </w:p>
    <w:p w:rsidR="00201B2B" w:rsidRPr="00201B2B" w:rsidRDefault="00201B2B" w:rsidP="00201B2B">
      <w:pPr>
        <w:pStyle w:val="ECHRPara"/>
        <w:rPr>
          <w:lang w:val="fr-FR"/>
        </w:rPr>
      </w:pPr>
      <w:bookmarkStart w:id="1" w:name="faitpasusagedrogue1"/>
      <w:r w:rsidRPr="00201B2B">
        <w:rPr>
          <w:lang w:val="fr-FR"/>
        </w:rPr>
        <w:t>6</w:t>
      </w:r>
      <w:bookmarkEnd w:id="1"/>
      <w:r w:rsidRPr="00201B2B">
        <w:rPr>
          <w:lang w:val="fr-FR"/>
        </w:rPr>
        <w:t>.  Le 17 août 1995, Sergio Marra fut arrêté et emprisonné au pénitencier de Voghera. Lors de son entrée au pénitencier, il déclara avoir consommé des stupéfiants deux jours avant son arrestation. Le 5 septembre 1995, il déclara au médecin de la prison ne pas avoir pris de stupéfiants depuis environ deux ans. Le 13 septembre 1995, il décéda. Selon le rapport du médecin légiste, la cause de sa mort était une overdose de substances similaires à la morphine, probablement de l</w:t>
      </w:r>
      <w:r w:rsidR="00014593">
        <w:rPr>
          <w:lang w:val="fr-FR"/>
        </w:rPr>
        <w:t>’</w:t>
      </w:r>
      <w:r w:rsidRPr="00201B2B">
        <w:rPr>
          <w:lang w:val="fr-FR"/>
        </w:rPr>
        <w:t>héroïne.</w:t>
      </w:r>
    </w:p>
    <w:p w:rsidR="00ED24C8" w:rsidRDefault="00201B2B" w:rsidP="00201B2B">
      <w:pPr>
        <w:pStyle w:val="ECHRPara"/>
        <w:rPr>
          <w:lang w:val="fr-FR"/>
        </w:rPr>
      </w:pPr>
      <w:r w:rsidRPr="00201B2B">
        <w:rPr>
          <w:lang w:val="fr-FR"/>
        </w:rPr>
        <w:t>7.  Le 2 juillet 1996, les requérants assignèrent le ministère de la Justice devant le tribunal de Milan afin d</w:t>
      </w:r>
      <w:r w:rsidR="00014593">
        <w:rPr>
          <w:lang w:val="fr-FR"/>
        </w:rPr>
        <w:t>’</w:t>
      </w:r>
      <w:r w:rsidRPr="00201B2B">
        <w:rPr>
          <w:lang w:val="fr-FR"/>
        </w:rPr>
        <w:t>obtenir la réparation des dommages qu</w:t>
      </w:r>
      <w:r w:rsidR="00014593">
        <w:rPr>
          <w:lang w:val="fr-FR"/>
        </w:rPr>
        <w:t>’</w:t>
      </w:r>
      <w:r w:rsidRPr="00201B2B">
        <w:rPr>
          <w:lang w:val="fr-FR"/>
        </w:rPr>
        <w:t>ils estimaient avoir subis en raison du décès de leur proche. Ils alléguaient que l</w:t>
      </w:r>
      <w:r w:rsidR="00014593">
        <w:rPr>
          <w:lang w:val="fr-FR"/>
        </w:rPr>
        <w:t>’</w:t>
      </w:r>
      <w:r w:rsidRPr="00201B2B">
        <w:rPr>
          <w:lang w:val="fr-FR"/>
        </w:rPr>
        <w:t>introduction de stupéfiants à l</w:t>
      </w:r>
      <w:r w:rsidR="00014593">
        <w:rPr>
          <w:lang w:val="fr-FR"/>
        </w:rPr>
        <w:t>’</w:t>
      </w:r>
      <w:r w:rsidRPr="00201B2B">
        <w:rPr>
          <w:lang w:val="fr-FR"/>
        </w:rPr>
        <w:t>intérieur d</w:t>
      </w:r>
      <w:r w:rsidR="00014593">
        <w:rPr>
          <w:lang w:val="fr-FR"/>
        </w:rPr>
        <w:t>’</w:t>
      </w:r>
      <w:r w:rsidRPr="00201B2B">
        <w:rPr>
          <w:lang w:val="fr-FR"/>
        </w:rPr>
        <w:t>une prison était interdite, et ils considéraient que le fait que leur fils et frère avait pu s</w:t>
      </w:r>
      <w:r w:rsidR="00014593">
        <w:rPr>
          <w:lang w:val="fr-FR"/>
        </w:rPr>
        <w:t>’</w:t>
      </w:r>
      <w:r w:rsidRPr="00201B2B">
        <w:rPr>
          <w:lang w:val="fr-FR"/>
        </w:rPr>
        <w:t>en procurer démontrait qu</w:t>
      </w:r>
      <w:r w:rsidR="00014593">
        <w:rPr>
          <w:lang w:val="fr-FR"/>
        </w:rPr>
        <w:t>’</w:t>
      </w:r>
      <w:r w:rsidRPr="00201B2B">
        <w:rPr>
          <w:lang w:val="fr-FR"/>
        </w:rPr>
        <w:t>il y avait eu négligence de la part du personnel chargé de la surveillance au pénitencier de Voghera.</w:t>
      </w:r>
    </w:p>
    <w:p w:rsidR="00201B2B" w:rsidRPr="00201B2B" w:rsidRDefault="00201B2B" w:rsidP="00201B2B">
      <w:pPr>
        <w:pStyle w:val="ECHRPara"/>
        <w:rPr>
          <w:lang w:val="fr-FR"/>
        </w:rPr>
      </w:pPr>
      <w:r w:rsidRPr="00201B2B">
        <w:rPr>
          <w:lang w:val="fr-FR"/>
        </w:rPr>
        <w:t>8.  Par un jugement du 24 octobre 1998, le tribunal de Milan rejeta la demande des requérants.</w:t>
      </w:r>
    </w:p>
    <w:p w:rsidR="00201B2B" w:rsidRPr="00201B2B" w:rsidRDefault="00201B2B" w:rsidP="00201B2B">
      <w:pPr>
        <w:pStyle w:val="ECHRPara"/>
        <w:rPr>
          <w:lang w:val="fr-FR"/>
        </w:rPr>
      </w:pPr>
      <w:r w:rsidRPr="00201B2B">
        <w:rPr>
          <w:lang w:val="fr-FR"/>
        </w:rPr>
        <w:t>9.  Dans sa décision, le tribunal observait qu</w:t>
      </w:r>
      <w:r w:rsidR="00014593">
        <w:rPr>
          <w:lang w:val="fr-FR"/>
        </w:rPr>
        <w:t>’</w:t>
      </w:r>
      <w:r w:rsidRPr="00201B2B">
        <w:rPr>
          <w:lang w:val="fr-FR"/>
        </w:rPr>
        <w:t>il incombait à l</w:t>
      </w:r>
      <w:r w:rsidR="00014593">
        <w:rPr>
          <w:lang w:val="fr-FR"/>
        </w:rPr>
        <w:t>’</w:t>
      </w:r>
      <w:r w:rsidRPr="00201B2B">
        <w:rPr>
          <w:lang w:val="fr-FR"/>
        </w:rPr>
        <w:t>administration du pénitencier d</w:t>
      </w:r>
      <w:r w:rsidR="00014593">
        <w:rPr>
          <w:lang w:val="fr-FR"/>
        </w:rPr>
        <w:t>’</w:t>
      </w:r>
      <w:r w:rsidRPr="00201B2B">
        <w:rPr>
          <w:lang w:val="fr-FR"/>
        </w:rPr>
        <w:t>empêcher l</w:t>
      </w:r>
      <w:r w:rsidR="00014593">
        <w:rPr>
          <w:lang w:val="fr-FR"/>
        </w:rPr>
        <w:t>’</w:t>
      </w:r>
      <w:r w:rsidRPr="00201B2B">
        <w:rPr>
          <w:lang w:val="fr-FR"/>
        </w:rPr>
        <w:t>introduction de drogue à l</w:t>
      </w:r>
      <w:r w:rsidR="00014593">
        <w:rPr>
          <w:lang w:val="fr-FR"/>
        </w:rPr>
        <w:t>’</w:t>
      </w:r>
      <w:r w:rsidRPr="00201B2B">
        <w:rPr>
          <w:lang w:val="fr-FR"/>
        </w:rPr>
        <w:t>intérieur de la prison et que la circonstance que des stupéfiants y circulaient démontrait l</w:t>
      </w:r>
      <w:r w:rsidR="00014593">
        <w:rPr>
          <w:lang w:val="fr-FR"/>
        </w:rPr>
        <w:t>’</w:t>
      </w:r>
      <w:r w:rsidRPr="00201B2B">
        <w:rPr>
          <w:lang w:val="fr-FR"/>
        </w:rPr>
        <w:t>inefficacité du contrôle opéré par elle. Il notait cependant que la responsabilité de l</w:t>
      </w:r>
      <w:r w:rsidR="00014593">
        <w:rPr>
          <w:lang w:val="fr-FR"/>
        </w:rPr>
        <w:t>’</w:t>
      </w:r>
      <w:r w:rsidRPr="00201B2B">
        <w:rPr>
          <w:lang w:val="fr-FR"/>
        </w:rPr>
        <w:t>administration ne pouvait être déclarée que s</w:t>
      </w:r>
      <w:r w:rsidR="00014593">
        <w:rPr>
          <w:lang w:val="fr-FR"/>
        </w:rPr>
        <w:t>’</w:t>
      </w:r>
      <w:r w:rsidRPr="00201B2B">
        <w:rPr>
          <w:lang w:val="fr-FR"/>
        </w:rPr>
        <w:t>il y avait eu dol ou négligence (</w:t>
      </w:r>
      <w:r w:rsidRPr="00201B2B">
        <w:rPr>
          <w:i/>
          <w:lang w:val="fr-FR"/>
        </w:rPr>
        <w:t>dolo o colpa</w:t>
      </w:r>
      <w:r w:rsidRPr="00201B2B">
        <w:rPr>
          <w:lang w:val="fr-FR"/>
        </w:rPr>
        <w:t>). En l</w:t>
      </w:r>
      <w:r w:rsidR="00014593">
        <w:rPr>
          <w:lang w:val="fr-FR"/>
        </w:rPr>
        <w:t>’</w:t>
      </w:r>
      <w:r w:rsidRPr="00201B2B">
        <w:rPr>
          <w:lang w:val="fr-FR"/>
        </w:rPr>
        <w:t>espèce, il considérait que rien ne permettait d</w:t>
      </w:r>
      <w:r w:rsidR="00014593">
        <w:rPr>
          <w:lang w:val="fr-FR"/>
        </w:rPr>
        <w:t>’</w:t>
      </w:r>
      <w:r w:rsidRPr="00201B2B">
        <w:rPr>
          <w:lang w:val="fr-FR"/>
        </w:rPr>
        <w:t>affirmer que l</w:t>
      </w:r>
      <w:r w:rsidR="00014593">
        <w:rPr>
          <w:lang w:val="fr-FR"/>
        </w:rPr>
        <w:t>’</w:t>
      </w:r>
      <w:r w:rsidRPr="00201B2B">
        <w:rPr>
          <w:lang w:val="fr-FR"/>
        </w:rPr>
        <w:t>introduction de stupéfiants avait eu lieu par la volonté du personnel pénitentiaire et qu</w:t>
      </w:r>
      <w:r w:rsidR="00014593">
        <w:rPr>
          <w:lang w:val="fr-FR"/>
        </w:rPr>
        <w:t>’</w:t>
      </w:r>
      <w:r w:rsidRPr="00201B2B">
        <w:rPr>
          <w:lang w:val="fr-FR"/>
        </w:rPr>
        <w:t>il n</w:t>
      </w:r>
      <w:r w:rsidR="00014593">
        <w:rPr>
          <w:lang w:val="fr-FR"/>
        </w:rPr>
        <w:t>’</w:t>
      </w:r>
      <w:r w:rsidRPr="00201B2B">
        <w:rPr>
          <w:lang w:val="fr-FR"/>
        </w:rPr>
        <w:t>y avait donc pas eu dol. Quant à la négligence, il relevait qu</w:t>
      </w:r>
      <w:r w:rsidR="00014593">
        <w:rPr>
          <w:lang w:val="fr-FR"/>
        </w:rPr>
        <w:t>’</w:t>
      </w:r>
      <w:r w:rsidRPr="00201B2B">
        <w:rPr>
          <w:lang w:val="fr-FR"/>
        </w:rPr>
        <w:t>elle pouvait exister si le fait en cause était prévisible et évitable, et il estimait que l</w:t>
      </w:r>
      <w:r w:rsidR="00014593">
        <w:rPr>
          <w:lang w:val="fr-FR"/>
        </w:rPr>
        <w:t>’</w:t>
      </w:r>
      <w:r w:rsidRPr="00201B2B">
        <w:rPr>
          <w:lang w:val="fr-FR"/>
        </w:rPr>
        <w:t>introduction de stupéfiants était un événement prévisible mais non évitable puisque pareilles substances étaient</w:t>
      </w:r>
      <w:r w:rsidRPr="00201B2B">
        <w:rPr>
          <w:rFonts w:cstheme="minorHAnsi"/>
          <w:lang w:val="fr-FR"/>
        </w:rPr>
        <w:t xml:space="preserve"> selon lui</w:t>
      </w:r>
      <w:r w:rsidRPr="00201B2B">
        <w:rPr>
          <w:lang w:val="fr-FR"/>
        </w:rPr>
        <w:t xml:space="preserve"> faciles à dissimuler. En outre, il considérait que l</w:t>
      </w:r>
      <w:r w:rsidR="00014593">
        <w:rPr>
          <w:lang w:val="fr-FR"/>
        </w:rPr>
        <w:t>’</w:t>
      </w:r>
      <w:r w:rsidRPr="00201B2B">
        <w:rPr>
          <w:lang w:val="fr-FR"/>
        </w:rPr>
        <w:t>on ne pouvait retenir une responsabilité objective de l</w:t>
      </w:r>
      <w:r w:rsidR="00014593">
        <w:rPr>
          <w:lang w:val="fr-FR"/>
        </w:rPr>
        <w:t>’</w:t>
      </w:r>
      <w:r w:rsidRPr="00201B2B">
        <w:rPr>
          <w:lang w:val="fr-FR"/>
        </w:rPr>
        <w:t>administration qui aurait été jusqu</w:t>
      </w:r>
      <w:r w:rsidR="00014593">
        <w:rPr>
          <w:lang w:val="fr-FR"/>
        </w:rPr>
        <w:t>’</w:t>
      </w:r>
      <w:r w:rsidRPr="00201B2B">
        <w:rPr>
          <w:lang w:val="fr-FR"/>
        </w:rPr>
        <w:t>à affirmer que tout ce qui se passait au sein d</w:t>
      </w:r>
      <w:r w:rsidR="00014593">
        <w:rPr>
          <w:lang w:val="fr-FR"/>
        </w:rPr>
        <w:t>’</w:t>
      </w:r>
      <w:r w:rsidRPr="00201B2B">
        <w:rPr>
          <w:lang w:val="fr-FR"/>
        </w:rPr>
        <w:t xml:space="preserve">une prison lui était </w:t>
      </w:r>
      <w:r w:rsidRPr="00201B2B">
        <w:rPr>
          <w:i/>
          <w:lang w:val="fr-FR"/>
        </w:rPr>
        <w:t xml:space="preserve">ipso facto </w:t>
      </w:r>
      <w:r w:rsidRPr="00201B2B">
        <w:rPr>
          <w:lang w:val="fr-FR"/>
        </w:rPr>
        <w:t>imputable.</w:t>
      </w:r>
    </w:p>
    <w:p w:rsidR="00201B2B" w:rsidRPr="00201B2B" w:rsidRDefault="00201B2B" w:rsidP="00201B2B">
      <w:pPr>
        <w:pStyle w:val="ECHRPara"/>
        <w:rPr>
          <w:lang w:val="fr-FR"/>
        </w:rPr>
      </w:pPr>
      <w:r w:rsidRPr="00201B2B">
        <w:rPr>
          <w:lang w:val="fr-FR"/>
        </w:rPr>
        <w:t>10.  Le tribunal soulignait qu</w:t>
      </w:r>
      <w:r w:rsidR="00014593">
        <w:rPr>
          <w:lang w:val="fr-FR"/>
        </w:rPr>
        <w:t>’</w:t>
      </w:r>
      <w:r w:rsidRPr="00201B2B">
        <w:rPr>
          <w:lang w:val="fr-FR"/>
        </w:rPr>
        <w:t>en tout état de cause il manquait un lien de causalité entre l</w:t>
      </w:r>
      <w:r w:rsidR="00014593">
        <w:rPr>
          <w:lang w:val="fr-FR"/>
        </w:rPr>
        <w:t>’</w:t>
      </w:r>
      <w:r w:rsidRPr="00201B2B">
        <w:rPr>
          <w:lang w:val="fr-FR"/>
        </w:rPr>
        <w:t>omission de contrôle de l</w:t>
      </w:r>
      <w:r w:rsidR="00014593">
        <w:rPr>
          <w:lang w:val="fr-FR"/>
        </w:rPr>
        <w:t>’</w:t>
      </w:r>
      <w:r w:rsidRPr="00201B2B">
        <w:rPr>
          <w:lang w:val="fr-FR"/>
        </w:rPr>
        <w:t>administration et le décès de Sergio Marra. Il exposait en effet que, selon la théorie de la « causalité adéquate » (</w:t>
      </w:r>
      <w:r w:rsidRPr="00201B2B">
        <w:rPr>
          <w:i/>
          <w:lang w:val="fr-FR"/>
        </w:rPr>
        <w:t>causalità adeguata</w:t>
      </w:r>
      <w:r w:rsidRPr="00201B2B">
        <w:rPr>
          <w:lang w:val="fr-FR"/>
        </w:rPr>
        <w:t>), étaient seuls « causes » d</w:t>
      </w:r>
      <w:r w:rsidR="00014593">
        <w:rPr>
          <w:lang w:val="fr-FR"/>
        </w:rPr>
        <w:t>’</w:t>
      </w:r>
      <w:r w:rsidRPr="00201B2B">
        <w:rPr>
          <w:lang w:val="fr-FR"/>
        </w:rPr>
        <w:t xml:space="preserve">un événement les comportements qui, selon une évaluation </w:t>
      </w:r>
      <w:r w:rsidRPr="00201B2B">
        <w:rPr>
          <w:i/>
          <w:lang w:val="fr-FR"/>
        </w:rPr>
        <w:t>ex ante</w:t>
      </w:r>
      <w:r w:rsidRPr="00201B2B">
        <w:rPr>
          <w:lang w:val="fr-FR"/>
        </w:rPr>
        <w:t>, auraient probablement évité sa survenance. Il relevait que, en l</w:t>
      </w:r>
      <w:r w:rsidR="00014593">
        <w:rPr>
          <w:lang w:val="fr-FR"/>
        </w:rPr>
        <w:t>’</w:t>
      </w:r>
      <w:r w:rsidRPr="00201B2B">
        <w:rPr>
          <w:lang w:val="fr-FR"/>
        </w:rPr>
        <w:t>espèce, le décès n</w:t>
      </w:r>
      <w:r w:rsidR="00014593">
        <w:rPr>
          <w:lang w:val="fr-FR"/>
        </w:rPr>
        <w:t>’</w:t>
      </w:r>
      <w:r w:rsidRPr="00201B2B">
        <w:rPr>
          <w:lang w:val="fr-FR"/>
        </w:rPr>
        <w:t xml:space="preserve">avait pas été </w:t>
      </w:r>
      <w:r w:rsidRPr="00201B2B">
        <w:rPr>
          <w:lang w:val="fr-FR"/>
        </w:rPr>
        <w:lastRenderedPageBreak/>
        <w:t>provoqué par la prise de stupéfiants, mais par l</w:t>
      </w:r>
      <w:r w:rsidR="00014593">
        <w:rPr>
          <w:lang w:val="fr-FR"/>
        </w:rPr>
        <w:t>’</w:t>
      </w:r>
      <w:r w:rsidRPr="00201B2B">
        <w:rPr>
          <w:lang w:val="fr-FR"/>
        </w:rPr>
        <w:t>administration d</w:t>
      </w:r>
      <w:r w:rsidR="00014593">
        <w:rPr>
          <w:lang w:val="fr-FR"/>
        </w:rPr>
        <w:t>’</w:t>
      </w:r>
      <w:r w:rsidRPr="00201B2B">
        <w:rPr>
          <w:lang w:val="fr-FR"/>
        </w:rPr>
        <w:t>une dose de drogue supérieure au seuil de tolérance d</w:t>
      </w:r>
      <w:r w:rsidR="00014593">
        <w:rPr>
          <w:lang w:val="fr-FR"/>
        </w:rPr>
        <w:t>’</w:t>
      </w:r>
      <w:r w:rsidRPr="00201B2B">
        <w:rPr>
          <w:lang w:val="fr-FR"/>
        </w:rPr>
        <w:t>une personne qui, étant emprisonnée depuis environ un mois, avait une capacité à supporter les stupéfiants moindre par rapport à la plupart des toxicomanes. L</w:t>
      </w:r>
      <w:r w:rsidR="00014593">
        <w:rPr>
          <w:lang w:val="fr-FR"/>
        </w:rPr>
        <w:t>’</w:t>
      </w:r>
      <w:r w:rsidRPr="00201B2B">
        <w:rPr>
          <w:lang w:val="fr-FR"/>
        </w:rPr>
        <w:t>auteur de l</w:t>
      </w:r>
      <w:r w:rsidR="00014593">
        <w:rPr>
          <w:lang w:val="fr-FR"/>
        </w:rPr>
        <w:t>’</w:t>
      </w:r>
      <w:r w:rsidRPr="00201B2B">
        <w:rPr>
          <w:lang w:val="fr-FR"/>
        </w:rPr>
        <w:t>introduction des stupéfiants étant inconnu, il estimait qu</w:t>
      </w:r>
      <w:r w:rsidR="00014593">
        <w:rPr>
          <w:lang w:val="fr-FR"/>
        </w:rPr>
        <w:t>’</w:t>
      </w:r>
      <w:r w:rsidRPr="00201B2B">
        <w:rPr>
          <w:lang w:val="fr-FR"/>
        </w:rPr>
        <w:t>il était difficile de prévoir que la drogue était destinée à Sergio Marra, qui se trouvait dans des conditions physiologiques particulières. Il notait que les requérants eux-mêmes admettaient par ailleurs que leur fils et frère s</w:t>
      </w:r>
      <w:r w:rsidR="00014593">
        <w:rPr>
          <w:lang w:val="fr-FR"/>
        </w:rPr>
        <w:t>’</w:t>
      </w:r>
      <w:r w:rsidRPr="00201B2B">
        <w:rPr>
          <w:lang w:val="fr-FR"/>
        </w:rPr>
        <w:t>était volontairement injecté les substances en question et que, s</w:t>
      </w:r>
      <w:r w:rsidR="00014593">
        <w:rPr>
          <w:lang w:val="fr-FR"/>
        </w:rPr>
        <w:t>’</w:t>
      </w:r>
      <w:r w:rsidRPr="00201B2B">
        <w:rPr>
          <w:lang w:val="fr-FR"/>
        </w:rPr>
        <w:t>agissant d</w:t>
      </w:r>
      <w:r w:rsidR="00014593">
        <w:rPr>
          <w:lang w:val="fr-FR"/>
        </w:rPr>
        <w:t>’</w:t>
      </w:r>
      <w:r w:rsidRPr="00201B2B">
        <w:rPr>
          <w:lang w:val="fr-FR"/>
        </w:rPr>
        <w:t>un individu adulte et en possession de ses capacités mentales, aucune obligation de surveillance particulière n</w:t>
      </w:r>
      <w:r w:rsidR="00014593">
        <w:rPr>
          <w:lang w:val="fr-FR"/>
        </w:rPr>
        <w:t>’</w:t>
      </w:r>
      <w:r w:rsidRPr="00201B2B">
        <w:rPr>
          <w:lang w:val="fr-FR"/>
        </w:rPr>
        <w:t>incombait au personnel de la prison.</w:t>
      </w:r>
    </w:p>
    <w:p w:rsidR="00201B2B" w:rsidRPr="00201B2B" w:rsidRDefault="00201B2B" w:rsidP="00201B2B">
      <w:pPr>
        <w:pStyle w:val="ECHRPara"/>
        <w:rPr>
          <w:lang w:val="fr-FR"/>
        </w:rPr>
      </w:pPr>
      <w:r w:rsidRPr="00201B2B">
        <w:rPr>
          <w:lang w:val="fr-FR"/>
        </w:rPr>
        <w:t>11.  Les requérants interjetèrent appel de ce jugement. Ils alléguaient l</w:t>
      </w:r>
      <w:r w:rsidR="00014593">
        <w:rPr>
          <w:lang w:val="fr-FR"/>
        </w:rPr>
        <w:t>’</w:t>
      </w:r>
      <w:r w:rsidRPr="00201B2B">
        <w:rPr>
          <w:lang w:val="fr-FR"/>
        </w:rPr>
        <w:t>existence d</w:t>
      </w:r>
      <w:r w:rsidR="00014593">
        <w:rPr>
          <w:lang w:val="fr-FR"/>
        </w:rPr>
        <w:t>’</w:t>
      </w:r>
      <w:r w:rsidRPr="00201B2B">
        <w:rPr>
          <w:lang w:val="fr-FR"/>
        </w:rPr>
        <w:t>un lien de causalité entre l</w:t>
      </w:r>
      <w:r w:rsidR="00014593">
        <w:rPr>
          <w:lang w:val="fr-FR"/>
        </w:rPr>
        <w:t>’</w:t>
      </w:r>
      <w:r w:rsidRPr="00201B2B">
        <w:rPr>
          <w:lang w:val="fr-FR"/>
        </w:rPr>
        <w:t>omission de contrôle de l</w:t>
      </w:r>
      <w:r w:rsidR="00014593">
        <w:rPr>
          <w:lang w:val="fr-FR"/>
        </w:rPr>
        <w:t>’</w:t>
      </w:r>
      <w:r w:rsidRPr="00201B2B">
        <w:rPr>
          <w:lang w:val="fr-FR"/>
        </w:rPr>
        <w:t>administration pénitentiaire et le décès de leur proche, arguant que l</w:t>
      </w:r>
      <w:r w:rsidR="00014593">
        <w:rPr>
          <w:lang w:val="fr-FR"/>
        </w:rPr>
        <w:t>’</w:t>
      </w:r>
      <w:r w:rsidRPr="00201B2B">
        <w:rPr>
          <w:lang w:val="fr-FR"/>
        </w:rPr>
        <w:t>introduction de stupéfiants en prison pouvait être évitée en utilisant des chiens entraînés à cette fin.</w:t>
      </w:r>
    </w:p>
    <w:p w:rsidR="00201B2B" w:rsidRPr="00201B2B" w:rsidRDefault="00201B2B" w:rsidP="00201B2B">
      <w:pPr>
        <w:pStyle w:val="ECHRPara"/>
        <w:rPr>
          <w:lang w:val="fr-FR"/>
        </w:rPr>
      </w:pPr>
      <w:r w:rsidRPr="00201B2B">
        <w:rPr>
          <w:lang w:val="fr-FR"/>
        </w:rPr>
        <w:t>12.  Par un arrêt du 6 mars 2002, la cour d</w:t>
      </w:r>
      <w:r w:rsidR="00014593">
        <w:rPr>
          <w:lang w:val="fr-FR"/>
        </w:rPr>
        <w:t>’</w:t>
      </w:r>
      <w:r w:rsidRPr="00201B2B">
        <w:rPr>
          <w:lang w:val="fr-FR"/>
        </w:rPr>
        <w:t>appel de Milan rejeta l</w:t>
      </w:r>
      <w:r w:rsidR="00014593">
        <w:rPr>
          <w:lang w:val="fr-FR"/>
        </w:rPr>
        <w:t>’</w:t>
      </w:r>
      <w:r w:rsidRPr="00201B2B">
        <w:rPr>
          <w:lang w:val="fr-FR"/>
        </w:rPr>
        <w:t>appel des requérants, confirmant pour l</w:t>
      </w:r>
      <w:r w:rsidR="00014593">
        <w:rPr>
          <w:lang w:val="fr-FR"/>
        </w:rPr>
        <w:t>’</w:t>
      </w:r>
      <w:r w:rsidRPr="00201B2B">
        <w:rPr>
          <w:lang w:val="fr-FR"/>
        </w:rPr>
        <w:t>essentiel le raisonnement du tribunal de première instance et relevant que Sergio Marra s</w:t>
      </w:r>
      <w:r w:rsidR="00014593">
        <w:rPr>
          <w:lang w:val="fr-FR"/>
        </w:rPr>
        <w:t>’</w:t>
      </w:r>
      <w:r w:rsidRPr="00201B2B">
        <w:rPr>
          <w:lang w:val="fr-FR"/>
        </w:rPr>
        <w:t>était volontairement injecté des stupéfiants. Sur ce dernier point, elle estimait qu</w:t>
      </w:r>
      <w:r w:rsidR="00014593">
        <w:rPr>
          <w:lang w:val="fr-FR"/>
        </w:rPr>
        <w:t>’</w:t>
      </w:r>
      <w:r w:rsidRPr="00201B2B">
        <w:rPr>
          <w:lang w:val="fr-FR"/>
        </w:rPr>
        <w:t>il s</w:t>
      </w:r>
      <w:r w:rsidR="00014593">
        <w:rPr>
          <w:lang w:val="fr-FR"/>
        </w:rPr>
        <w:t>’</w:t>
      </w:r>
      <w:r w:rsidRPr="00201B2B">
        <w:rPr>
          <w:lang w:val="fr-FR"/>
        </w:rPr>
        <w:t>agissait d</w:t>
      </w:r>
      <w:r w:rsidR="00014593">
        <w:rPr>
          <w:lang w:val="fr-FR"/>
        </w:rPr>
        <w:t>’</w:t>
      </w:r>
      <w:r w:rsidRPr="00201B2B">
        <w:rPr>
          <w:lang w:val="fr-FR"/>
        </w:rPr>
        <w:t>une conduite relevant d</w:t>
      </w:r>
      <w:r w:rsidR="00014593">
        <w:rPr>
          <w:lang w:val="fr-FR"/>
        </w:rPr>
        <w:t>’</w:t>
      </w:r>
      <w:r w:rsidRPr="00201B2B">
        <w:rPr>
          <w:lang w:val="fr-FR"/>
        </w:rPr>
        <w:t>un choix personnel de l</w:t>
      </w:r>
      <w:r w:rsidR="00014593">
        <w:rPr>
          <w:lang w:val="fr-FR"/>
        </w:rPr>
        <w:t>’</w:t>
      </w:r>
      <w:r w:rsidRPr="00201B2B">
        <w:rPr>
          <w:lang w:val="fr-FR"/>
        </w:rPr>
        <w:t>intéressé, non imputable à l</w:t>
      </w:r>
      <w:r w:rsidR="00014593">
        <w:rPr>
          <w:lang w:val="fr-FR"/>
        </w:rPr>
        <w:t>’</w:t>
      </w:r>
      <w:r w:rsidRPr="00201B2B">
        <w:rPr>
          <w:lang w:val="fr-FR"/>
        </w:rPr>
        <w:t>administration. Par ailleurs, elle notait qu</w:t>
      </w:r>
      <w:r w:rsidR="00014593">
        <w:rPr>
          <w:lang w:val="fr-FR"/>
        </w:rPr>
        <w:t>’</w:t>
      </w:r>
      <w:r w:rsidRPr="00201B2B">
        <w:rPr>
          <w:lang w:val="fr-FR"/>
        </w:rPr>
        <w:t>aucune disposition n</w:t>
      </w:r>
      <w:r w:rsidR="00014593">
        <w:rPr>
          <w:lang w:val="fr-FR"/>
        </w:rPr>
        <w:t>’</w:t>
      </w:r>
      <w:r w:rsidRPr="00201B2B">
        <w:rPr>
          <w:lang w:val="fr-FR"/>
        </w:rPr>
        <w:t>imposait spécifiquement à cette dernière, à des fins de protection de la santé des détenus, d</w:t>
      </w:r>
      <w:r w:rsidR="00014593">
        <w:rPr>
          <w:lang w:val="fr-FR"/>
        </w:rPr>
        <w:t>’</w:t>
      </w:r>
      <w:r w:rsidRPr="00201B2B">
        <w:rPr>
          <w:lang w:val="fr-FR"/>
        </w:rPr>
        <w:t>empêcher l</w:t>
      </w:r>
      <w:r w:rsidR="00014593">
        <w:rPr>
          <w:lang w:val="fr-FR"/>
        </w:rPr>
        <w:t>’</w:t>
      </w:r>
      <w:r w:rsidRPr="00201B2B">
        <w:rPr>
          <w:lang w:val="fr-FR"/>
        </w:rPr>
        <w:t>utilisation de drogue au sein de la prison et que l</w:t>
      </w:r>
      <w:r w:rsidR="00014593">
        <w:rPr>
          <w:lang w:val="fr-FR"/>
        </w:rPr>
        <w:t>’</w:t>
      </w:r>
      <w:r w:rsidRPr="00201B2B">
        <w:rPr>
          <w:lang w:val="fr-FR"/>
        </w:rPr>
        <w:t>utilisation de chiens ne constituait pas forcément un moyen sûr et efficace pour prévenir l</w:t>
      </w:r>
      <w:r w:rsidR="00014593">
        <w:rPr>
          <w:lang w:val="fr-FR"/>
        </w:rPr>
        <w:t>’</w:t>
      </w:r>
      <w:r w:rsidRPr="00201B2B">
        <w:rPr>
          <w:lang w:val="fr-FR"/>
        </w:rPr>
        <w:t>introduction de stupéfiants. Pour la cour d</w:t>
      </w:r>
      <w:r w:rsidR="00014593">
        <w:rPr>
          <w:lang w:val="fr-FR"/>
        </w:rPr>
        <w:t>’</w:t>
      </w:r>
      <w:r w:rsidRPr="00201B2B">
        <w:rPr>
          <w:lang w:val="fr-FR"/>
        </w:rPr>
        <w:t>appel, il n</w:t>
      </w:r>
      <w:r w:rsidR="00014593">
        <w:rPr>
          <w:lang w:val="fr-FR"/>
        </w:rPr>
        <w:t>’</w:t>
      </w:r>
      <w:r w:rsidRPr="00201B2B">
        <w:rPr>
          <w:lang w:val="fr-FR"/>
        </w:rPr>
        <w:t>avait pas été établi comment, en l</w:t>
      </w:r>
      <w:r w:rsidR="00014593">
        <w:rPr>
          <w:lang w:val="fr-FR"/>
        </w:rPr>
        <w:t>’</w:t>
      </w:r>
      <w:r w:rsidRPr="00201B2B">
        <w:rPr>
          <w:lang w:val="fr-FR"/>
        </w:rPr>
        <w:t>espèce, les stupéfiants avaient été introduits dans la prison ; dès lors, on ne pouvait, à ses yeux, imputer à l</w:t>
      </w:r>
      <w:r w:rsidR="00014593">
        <w:rPr>
          <w:lang w:val="fr-FR"/>
        </w:rPr>
        <w:t>’</w:t>
      </w:r>
      <w:r w:rsidRPr="00201B2B">
        <w:rPr>
          <w:lang w:val="fr-FR"/>
        </w:rPr>
        <w:t>administration un comportement négligent spécifique.</w:t>
      </w:r>
    </w:p>
    <w:p w:rsidR="00201B2B" w:rsidRPr="00201B2B" w:rsidRDefault="00201B2B" w:rsidP="00201B2B">
      <w:pPr>
        <w:pStyle w:val="ECHRPara"/>
        <w:rPr>
          <w:lang w:val="fr-FR"/>
        </w:rPr>
      </w:pPr>
      <w:r w:rsidRPr="00201B2B">
        <w:rPr>
          <w:lang w:val="fr-FR"/>
        </w:rPr>
        <w:t>13.  Invoquant, entre autres, l</w:t>
      </w:r>
      <w:r w:rsidR="00014593">
        <w:rPr>
          <w:lang w:val="fr-FR"/>
        </w:rPr>
        <w:t>’</w:t>
      </w:r>
      <w:r w:rsidRPr="00201B2B">
        <w:rPr>
          <w:lang w:val="fr-FR"/>
        </w:rPr>
        <w:t>article 40 du code pénal (le CP), ainsi que les articles 28 et 32 de la Constitution (voir, ci-après, sous « le droit interne pertinent »), les requérants se pourvurent en cassation.</w:t>
      </w:r>
    </w:p>
    <w:p w:rsidR="00201B2B" w:rsidRPr="00201B2B" w:rsidRDefault="00201B2B" w:rsidP="00201B2B">
      <w:pPr>
        <w:pStyle w:val="ECHRPara"/>
        <w:rPr>
          <w:lang w:val="fr-FR"/>
        </w:rPr>
      </w:pPr>
      <w:r w:rsidRPr="00201B2B">
        <w:rPr>
          <w:lang w:val="fr-FR"/>
        </w:rPr>
        <w:t>14.  Par un arrêt du 6 février 2007, dont le texte fut déposé au greffe le 31 mars 2007, la Cour de cassation débouta les requérants de leur pourvoi.</w:t>
      </w:r>
    </w:p>
    <w:p w:rsidR="00201B2B" w:rsidRPr="00201B2B" w:rsidRDefault="00201B2B" w:rsidP="00201B2B">
      <w:pPr>
        <w:pStyle w:val="ECHRPara"/>
        <w:rPr>
          <w:lang w:val="fr-FR"/>
        </w:rPr>
      </w:pPr>
      <w:r w:rsidRPr="00201B2B">
        <w:rPr>
          <w:lang w:val="fr-FR"/>
        </w:rPr>
        <w:t>15.  Elle observait que la responsabilité par omission était exceptionnelle et ne s</w:t>
      </w:r>
      <w:r w:rsidR="00014593">
        <w:rPr>
          <w:lang w:val="fr-FR"/>
        </w:rPr>
        <w:t>’</w:t>
      </w:r>
      <w:r w:rsidRPr="00201B2B">
        <w:rPr>
          <w:lang w:val="fr-FR"/>
        </w:rPr>
        <w:t>envisageait qu</w:t>
      </w:r>
      <w:r w:rsidR="00014593">
        <w:rPr>
          <w:lang w:val="fr-FR"/>
        </w:rPr>
        <w:t>’</w:t>
      </w:r>
      <w:r w:rsidRPr="00201B2B">
        <w:rPr>
          <w:lang w:val="fr-FR"/>
        </w:rPr>
        <w:t>en présence d</w:t>
      </w:r>
      <w:r w:rsidR="00014593">
        <w:rPr>
          <w:lang w:val="fr-FR"/>
        </w:rPr>
        <w:t>’</w:t>
      </w:r>
      <w:r w:rsidRPr="00201B2B">
        <w:rPr>
          <w:lang w:val="fr-FR"/>
        </w:rPr>
        <w:t>une obligation d</w:t>
      </w:r>
      <w:r w:rsidR="00014593">
        <w:rPr>
          <w:lang w:val="fr-FR"/>
        </w:rPr>
        <w:t>’</w:t>
      </w:r>
      <w:r w:rsidRPr="00201B2B">
        <w:rPr>
          <w:lang w:val="fr-FR"/>
        </w:rPr>
        <w:t>empêcher la survenance d</w:t>
      </w:r>
      <w:r w:rsidR="00014593">
        <w:rPr>
          <w:lang w:val="fr-FR"/>
        </w:rPr>
        <w:t>’</w:t>
      </w:r>
      <w:r w:rsidRPr="00201B2B">
        <w:rPr>
          <w:lang w:val="fr-FR"/>
        </w:rPr>
        <w:t>un certain événement. Elle précisait que cette obligation pouvait trouver son fondement dans une disposition légale ou dans l</w:t>
      </w:r>
      <w:r w:rsidR="00014593">
        <w:rPr>
          <w:lang w:val="fr-FR"/>
        </w:rPr>
        <w:t>’</w:t>
      </w:r>
      <w:r w:rsidRPr="00201B2B">
        <w:rPr>
          <w:lang w:val="fr-FR"/>
        </w:rPr>
        <w:t>existence d</w:t>
      </w:r>
      <w:r w:rsidR="00014593">
        <w:rPr>
          <w:lang w:val="fr-FR"/>
        </w:rPr>
        <w:t>’</w:t>
      </w:r>
      <w:r w:rsidRPr="00201B2B">
        <w:rPr>
          <w:lang w:val="fr-FR"/>
        </w:rPr>
        <w:t>un rapport spécifique entre la personne dont l</w:t>
      </w:r>
      <w:r w:rsidR="00014593">
        <w:rPr>
          <w:lang w:val="fr-FR"/>
        </w:rPr>
        <w:t>’</w:t>
      </w:r>
      <w:r w:rsidRPr="00201B2B">
        <w:rPr>
          <w:lang w:val="fr-FR"/>
        </w:rPr>
        <w:t>intérêt avait été lésé et celle responsable de cette lésion. S</w:t>
      </w:r>
      <w:r w:rsidR="00014593">
        <w:rPr>
          <w:lang w:val="fr-FR"/>
        </w:rPr>
        <w:t>’</w:t>
      </w:r>
      <w:r w:rsidRPr="00201B2B">
        <w:rPr>
          <w:lang w:val="fr-FR"/>
        </w:rPr>
        <w:t>agissant de ce dernier point, elle ajoutait que ce rapport devait être établi au cas par cas.</w:t>
      </w:r>
    </w:p>
    <w:p w:rsidR="00201B2B" w:rsidRPr="00201B2B" w:rsidRDefault="00201B2B" w:rsidP="00201B2B">
      <w:pPr>
        <w:pStyle w:val="ECHRPara"/>
        <w:rPr>
          <w:lang w:val="fr-FR"/>
        </w:rPr>
      </w:pPr>
      <w:r w:rsidRPr="00201B2B">
        <w:rPr>
          <w:lang w:val="fr-FR"/>
        </w:rPr>
        <w:t>16.  En outre, la Cour de cassation se démarquait de la position de la cour d</w:t>
      </w:r>
      <w:r w:rsidR="00014593">
        <w:rPr>
          <w:lang w:val="fr-FR"/>
        </w:rPr>
        <w:t>’</w:t>
      </w:r>
      <w:r w:rsidRPr="00201B2B">
        <w:rPr>
          <w:lang w:val="fr-FR"/>
        </w:rPr>
        <w:t>appel sur la question de savoir si l</w:t>
      </w:r>
      <w:r w:rsidR="00014593">
        <w:rPr>
          <w:lang w:val="fr-FR"/>
        </w:rPr>
        <w:t>’</w:t>
      </w:r>
      <w:r w:rsidRPr="00201B2B">
        <w:rPr>
          <w:lang w:val="fr-FR"/>
        </w:rPr>
        <w:t>administration était tenue d</w:t>
      </w:r>
      <w:r w:rsidR="00014593">
        <w:rPr>
          <w:lang w:val="fr-FR"/>
        </w:rPr>
        <w:t>’</w:t>
      </w:r>
      <w:r w:rsidRPr="00201B2B">
        <w:rPr>
          <w:lang w:val="fr-FR"/>
        </w:rPr>
        <w:t>empêcher l</w:t>
      </w:r>
      <w:r w:rsidR="00014593">
        <w:rPr>
          <w:lang w:val="fr-FR"/>
        </w:rPr>
        <w:t>’</w:t>
      </w:r>
      <w:r w:rsidRPr="00201B2B">
        <w:rPr>
          <w:lang w:val="fr-FR"/>
        </w:rPr>
        <w:t>introduction de stupéfiants au sein des prisons. Elle estimait qu</w:t>
      </w:r>
      <w:r w:rsidR="00014593">
        <w:rPr>
          <w:lang w:val="fr-FR"/>
        </w:rPr>
        <w:t>’</w:t>
      </w:r>
      <w:r w:rsidRPr="00201B2B">
        <w:rPr>
          <w:lang w:val="fr-FR"/>
        </w:rPr>
        <w:t>une telle obligation existait, compte tenu de l</w:t>
      </w:r>
      <w:r w:rsidR="00014593">
        <w:rPr>
          <w:lang w:val="fr-FR"/>
        </w:rPr>
        <w:t>’</w:t>
      </w:r>
      <w:r w:rsidRPr="00201B2B">
        <w:rPr>
          <w:lang w:val="fr-FR"/>
        </w:rPr>
        <w:t>exigence de protéger la santé des détenus et de la situation particulière de ces derniers. Elle indiquait cependant que le choix des instruments à utiliser à cet égard ressortissait du pouvoir discrétionnaire du législateur ou de l</w:t>
      </w:r>
      <w:r w:rsidR="00014593">
        <w:rPr>
          <w:lang w:val="fr-FR"/>
        </w:rPr>
        <w:t>’</w:t>
      </w:r>
      <w:r w:rsidRPr="00201B2B">
        <w:rPr>
          <w:lang w:val="fr-FR"/>
        </w:rPr>
        <w:t>administration et qu</w:t>
      </w:r>
      <w:r w:rsidR="00014593">
        <w:rPr>
          <w:lang w:val="fr-FR"/>
        </w:rPr>
        <w:t>’</w:t>
      </w:r>
      <w:r w:rsidRPr="00201B2B">
        <w:rPr>
          <w:lang w:val="fr-FR"/>
        </w:rPr>
        <w:t>il n</w:t>
      </w:r>
      <w:r w:rsidR="00014593">
        <w:rPr>
          <w:lang w:val="fr-FR"/>
        </w:rPr>
        <w:t>’</w:t>
      </w:r>
      <w:r w:rsidRPr="00201B2B">
        <w:rPr>
          <w:lang w:val="fr-FR"/>
        </w:rPr>
        <w:t>était pas soumis à un contrôle juridictionnel.</w:t>
      </w:r>
    </w:p>
    <w:p w:rsidR="00201B2B" w:rsidRPr="00201B2B" w:rsidRDefault="00201B2B" w:rsidP="00201B2B">
      <w:pPr>
        <w:pStyle w:val="ECHRPara"/>
        <w:rPr>
          <w:lang w:val="fr-FR"/>
        </w:rPr>
      </w:pPr>
      <w:r w:rsidRPr="00201B2B">
        <w:rPr>
          <w:lang w:val="fr-FR"/>
        </w:rPr>
        <w:t>17.  Selon la Cour de cassation, la responsabilité de l</w:t>
      </w:r>
      <w:r w:rsidR="00014593">
        <w:rPr>
          <w:lang w:val="fr-FR"/>
        </w:rPr>
        <w:t>’</w:t>
      </w:r>
      <w:r w:rsidRPr="00201B2B">
        <w:rPr>
          <w:lang w:val="fr-FR"/>
        </w:rPr>
        <w:t>administration devait être exclue lorsque l</w:t>
      </w:r>
      <w:r w:rsidR="00014593">
        <w:rPr>
          <w:lang w:val="fr-FR"/>
        </w:rPr>
        <w:t>’</w:t>
      </w:r>
      <w:r w:rsidRPr="00201B2B">
        <w:rPr>
          <w:lang w:val="fr-FR"/>
        </w:rPr>
        <w:t>événement préjudiciable se serait produit même en présence d</w:t>
      </w:r>
      <w:r w:rsidR="00014593">
        <w:rPr>
          <w:lang w:val="fr-FR"/>
        </w:rPr>
        <w:t>’</w:t>
      </w:r>
      <w:r w:rsidRPr="00201B2B">
        <w:rPr>
          <w:lang w:val="fr-FR"/>
        </w:rPr>
        <w:t>un comportement adéquat, et ce en raison de l</w:t>
      </w:r>
      <w:r w:rsidR="00014593">
        <w:rPr>
          <w:lang w:val="fr-FR"/>
        </w:rPr>
        <w:t>’</w:t>
      </w:r>
      <w:r w:rsidRPr="00201B2B">
        <w:rPr>
          <w:lang w:val="fr-FR"/>
        </w:rPr>
        <w:t>absence d</w:t>
      </w:r>
      <w:r w:rsidR="00014593">
        <w:rPr>
          <w:lang w:val="fr-FR"/>
        </w:rPr>
        <w:t>’</w:t>
      </w:r>
      <w:r w:rsidRPr="00201B2B">
        <w:rPr>
          <w:lang w:val="fr-FR"/>
        </w:rPr>
        <w:t>un lien de causalité. En l</w:t>
      </w:r>
      <w:r w:rsidR="00014593">
        <w:rPr>
          <w:lang w:val="fr-FR"/>
        </w:rPr>
        <w:t>’</w:t>
      </w:r>
      <w:r w:rsidRPr="00201B2B">
        <w:rPr>
          <w:lang w:val="fr-FR"/>
        </w:rPr>
        <w:t>espèce, la Cour de cassation notait que la drogue aurait pu être introduite en prison selon des modalités propres à exclure toute violation de l</w:t>
      </w:r>
      <w:r w:rsidR="00014593">
        <w:rPr>
          <w:lang w:val="fr-FR"/>
        </w:rPr>
        <w:t>’</w:t>
      </w:r>
      <w:r w:rsidRPr="00201B2B">
        <w:rPr>
          <w:lang w:val="fr-FR"/>
        </w:rPr>
        <w:t>obligation de contrôle incombant à l</w:t>
      </w:r>
      <w:r w:rsidR="00014593">
        <w:rPr>
          <w:lang w:val="fr-FR"/>
        </w:rPr>
        <w:t>’</w:t>
      </w:r>
      <w:r w:rsidRPr="00201B2B">
        <w:rPr>
          <w:lang w:val="fr-FR"/>
        </w:rPr>
        <w:t>administration.</w:t>
      </w:r>
    </w:p>
    <w:p w:rsidR="00201B2B" w:rsidRPr="00373FBE" w:rsidRDefault="00201B2B" w:rsidP="00201B2B">
      <w:pPr>
        <w:pStyle w:val="JuParaChar"/>
        <w:rPr>
          <w:lang w:val="fr-FR"/>
        </w:rPr>
      </w:pPr>
      <w:r>
        <w:rPr>
          <w:lang w:val="fr-FR"/>
        </w:rPr>
        <w:t>18.  </w:t>
      </w:r>
      <w:r w:rsidRPr="00373FBE">
        <w:rPr>
          <w:lang w:val="fr-FR"/>
        </w:rPr>
        <w:t>La Cour de cassation précisa</w:t>
      </w:r>
      <w:r>
        <w:rPr>
          <w:lang w:val="fr-FR"/>
        </w:rPr>
        <w:t>it</w:t>
      </w:r>
      <w:r w:rsidRPr="00373FBE">
        <w:rPr>
          <w:lang w:val="fr-FR"/>
        </w:rPr>
        <w:t xml:space="preserve"> enfin que la cour d</w:t>
      </w:r>
      <w:r w:rsidR="00014593">
        <w:rPr>
          <w:lang w:val="fr-FR"/>
        </w:rPr>
        <w:t>’</w:t>
      </w:r>
      <w:r w:rsidRPr="00373FBE">
        <w:rPr>
          <w:lang w:val="fr-FR"/>
        </w:rPr>
        <w:t>appel avait à tort estimé que l</w:t>
      </w:r>
      <w:r w:rsidR="00014593">
        <w:rPr>
          <w:lang w:val="fr-FR"/>
        </w:rPr>
        <w:t>’</w:t>
      </w:r>
      <w:r w:rsidRPr="00373FBE">
        <w:rPr>
          <w:lang w:val="fr-FR"/>
        </w:rPr>
        <w:t>utilisation volontaire d</w:t>
      </w:r>
      <w:r>
        <w:rPr>
          <w:lang w:val="fr-FR"/>
        </w:rPr>
        <w:t>es</w:t>
      </w:r>
      <w:r w:rsidRPr="00373FBE">
        <w:rPr>
          <w:lang w:val="fr-FR"/>
        </w:rPr>
        <w:t xml:space="preserve"> stupéfiant</w:t>
      </w:r>
      <w:r>
        <w:rPr>
          <w:lang w:val="fr-FR"/>
        </w:rPr>
        <w:t>s</w:t>
      </w:r>
      <w:r w:rsidRPr="00373FBE">
        <w:rPr>
          <w:lang w:val="fr-FR"/>
        </w:rPr>
        <w:t xml:space="preserve"> avait rompu le lien de causalité</w:t>
      </w:r>
      <w:r>
        <w:rPr>
          <w:lang w:val="fr-FR"/>
        </w:rPr>
        <w:t>, mais que</w:t>
      </w:r>
      <w:r w:rsidRPr="00373FBE">
        <w:rPr>
          <w:lang w:val="fr-FR"/>
        </w:rPr>
        <w:t xml:space="preserve"> cette erreur n</w:t>
      </w:r>
      <w:r w:rsidR="00014593">
        <w:rPr>
          <w:lang w:val="fr-FR"/>
        </w:rPr>
        <w:t>’</w:t>
      </w:r>
      <w:r w:rsidRPr="00373FBE">
        <w:rPr>
          <w:lang w:val="fr-FR"/>
        </w:rPr>
        <w:t>influait pas sur l</w:t>
      </w:r>
      <w:r w:rsidR="00014593">
        <w:rPr>
          <w:lang w:val="fr-FR"/>
        </w:rPr>
        <w:t>’</w:t>
      </w:r>
      <w:r w:rsidRPr="00373FBE">
        <w:rPr>
          <w:lang w:val="fr-FR"/>
        </w:rPr>
        <w:t>issue du litige.</w:t>
      </w:r>
    </w:p>
    <w:p w:rsidR="00201B2B" w:rsidRPr="00201B2B" w:rsidRDefault="00201B2B" w:rsidP="00201B2B">
      <w:pPr>
        <w:pStyle w:val="ECHRHeading2"/>
        <w:rPr>
          <w:lang w:val="fr-FR"/>
        </w:rPr>
      </w:pPr>
      <w:r w:rsidRPr="00201B2B">
        <w:rPr>
          <w:lang w:val="fr-FR"/>
        </w:rPr>
        <w:t>B.  Le droit interne pertinent</w:t>
      </w:r>
    </w:p>
    <w:p w:rsidR="00201B2B" w:rsidRPr="00201B2B" w:rsidRDefault="00201B2B" w:rsidP="00201B2B">
      <w:pPr>
        <w:pStyle w:val="ECHRHeading3"/>
        <w:rPr>
          <w:lang w:val="fr-FR"/>
        </w:rPr>
      </w:pPr>
      <w:r w:rsidRPr="00201B2B">
        <w:rPr>
          <w:lang w:val="fr-FR"/>
        </w:rPr>
        <w:t>1.  Le code pénal</w:t>
      </w:r>
    </w:p>
    <w:p w:rsidR="00201B2B" w:rsidRPr="00201B2B" w:rsidRDefault="00201B2B" w:rsidP="00201B2B">
      <w:pPr>
        <w:pStyle w:val="ECHRPara"/>
        <w:rPr>
          <w:lang w:val="fr-FR"/>
        </w:rPr>
      </w:pPr>
      <w:r w:rsidRPr="00201B2B">
        <w:rPr>
          <w:lang w:val="fr-FR"/>
        </w:rPr>
        <w:t>19.  Aux termes de l</w:t>
      </w:r>
      <w:r w:rsidR="00014593">
        <w:rPr>
          <w:lang w:val="fr-FR"/>
        </w:rPr>
        <w:t>’</w:t>
      </w:r>
      <w:r w:rsidRPr="00201B2B">
        <w:rPr>
          <w:lang w:val="fr-FR"/>
        </w:rPr>
        <w:t>article 40 du CP,</w:t>
      </w:r>
    </w:p>
    <w:p w:rsidR="00201B2B" w:rsidRPr="00201B2B" w:rsidRDefault="00201B2B" w:rsidP="00201B2B">
      <w:pPr>
        <w:pStyle w:val="ECHRParaQuote"/>
        <w:rPr>
          <w:lang w:val="fr-FR"/>
        </w:rPr>
      </w:pPr>
      <w:r w:rsidRPr="00201B2B">
        <w:rPr>
          <w:lang w:val="fr-FR"/>
        </w:rPr>
        <w:t>« Nul ne peut être puni pour un fait érigé en infraction par la loi, si l</w:t>
      </w:r>
      <w:r w:rsidR="00014593">
        <w:rPr>
          <w:lang w:val="fr-FR"/>
        </w:rPr>
        <w:t>’</w:t>
      </w:r>
      <w:r w:rsidRPr="00201B2B">
        <w:rPr>
          <w:lang w:val="fr-FR"/>
        </w:rPr>
        <w:t>événement préjudiciable ou dangereux duquel dépend l</w:t>
      </w:r>
      <w:r w:rsidR="00014593">
        <w:rPr>
          <w:lang w:val="fr-FR"/>
        </w:rPr>
        <w:t>’</w:t>
      </w:r>
      <w:r w:rsidRPr="00201B2B">
        <w:rPr>
          <w:lang w:val="fr-FR"/>
        </w:rPr>
        <w:t>existence de l</w:t>
      </w:r>
      <w:r w:rsidR="00014593">
        <w:rPr>
          <w:lang w:val="fr-FR"/>
        </w:rPr>
        <w:t>’</w:t>
      </w:r>
      <w:r w:rsidRPr="00201B2B">
        <w:rPr>
          <w:lang w:val="fr-FR"/>
        </w:rPr>
        <w:t>infraction n</w:t>
      </w:r>
      <w:r w:rsidR="00014593">
        <w:rPr>
          <w:lang w:val="fr-FR"/>
        </w:rPr>
        <w:t>’</w:t>
      </w:r>
      <w:r w:rsidRPr="00201B2B">
        <w:rPr>
          <w:lang w:val="fr-FR"/>
        </w:rPr>
        <w:t>est pas une conséquence de son action ou omission.</w:t>
      </w:r>
    </w:p>
    <w:p w:rsidR="00201B2B" w:rsidRPr="00201B2B" w:rsidRDefault="00201B2B" w:rsidP="00201B2B">
      <w:pPr>
        <w:pStyle w:val="ECHRParaQuote"/>
        <w:rPr>
          <w:lang w:val="fr-FR"/>
        </w:rPr>
      </w:pPr>
      <w:r w:rsidRPr="00201B2B">
        <w:rPr>
          <w:lang w:val="fr-FR"/>
        </w:rPr>
        <w:t>Ne pas empêcher un événement qu</w:t>
      </w:r>
      <w:r w:rsidR="00014593">
        <w:rPr>
          <w:lang w:val="fr-FR"/>
        </w:rPr>
        <w:t>’</w:t>
      </w:r>
      <w:r w:rsidRPr="00201B2B">
        <w:rPr>
          <w:lang w:val="fr-FR"/>
        </w:rPr>
        <w:t>on a l</w:t>
      </w:r>
      <w:r w:rsidR="00014593">
        <w:rPr>
          <w:lang w:val="fr-FR"/>
        </w:rPr>
        <w:t>’</w:t>
      </w:r>
      <w:r w:rsidRPr="00201B2B">
        <w:rPr>
          <w:lang w:val="fr-FR"/>
        </w:rPr>
        <w:t>obligation juridique d</w:t>
      </w:r>
      <w:r w:rsidR="00014593">
        <w:rPr>
          <w:lang w:val="fr-FR"/>
        </w:rPr>
        <w:t>’</w:t>
      </w:r>
      <w:r w:rsidRPr="00201B2B">
        <w:rPr>
          <w:lang w:val="fr-FR"/>
        </w:rPr>
        <w:t>empêcher équivaut à le provoquer. »</w:t>
      </w:r>
    </w:p>
    <w:p w:rsidR="00201B2B" w:rsidRPr="00201B2B" w:rsidRDefault="00201B2B" w:rsidP="00201B2B">
      <w:pPr>
        <w:pStyle w:val="ECHRHeading3"/>
        <w:rPr>
          <w:lang w:val="fr-FR"/>
        </w:rPr>
      </w:pPr>
      <w:r w:rsidRPr="00201B2B">
        <w:rPr>
          <w:lang w:val="fr-FR"/>
        </w:rPr>
        <w:t>2.  La Constitution</w:t>
      </w:r>
    </w:p>
    <w:p w:rsidR="00201B2B" w:rsidRPr="00201B2B" w:rsidRDefault="00201B2B" w:rsidP="00201B2B">
      <w:pPr>
        <w:pStyle w:val="ECHRPara"/>
        <w:rPr>
          <w:lang w:val="fr-FR"/>
        </w:rPr>
      </w:pPr>
      <w:r w:rsidRPr="00201B2B">
        <w:rPr>
          <w:lang w:val="fr-FR"/>
        </w:rPr>
        <w:t>20.  Les dispositions pertinentes en l</w:t>
      </w:r>
      <w:r w:rsidR="00014593">
        <w:rPr>
          <w:lang w:val="fr-FR"/>
        </w:rPr>
        <w:t>’</w:t>
      </w:r>
      <w:r w:rsidRPr="00201B2B">
        <w:rPr>
          <w:lang w:val="fr-FR"/>
        </w:rPr>
        <w:t>espèce de la Constitution se lisent comme suit :</w:t>
      </w:r>
    </w:p>
    <w:p w:rsidR="00201B2B" w:rsidRPr="00201B2B" w:rsidRDefault="00201B2B" w:rsidP="00201B2B">
      <w:pPr>
        <w:pStyle w:val="ECHRParaQuote"/>
        <w:ind w:left="0" w:firstLine="0"/>
        <w:jc w:val="center"/>
        <w:rPr>
          <w:b/>
          <w:lang w:val="fr-FR"/>
        </w:rPr>
      </w:pPr>
      <w:r w:rsidRPr="00201B2B">
        <w:rPr>
          <w:b/>
          <w:lang w:val="fr-FR"/>
        </w:rPr>
        <w:t>Article 28</w:t>
      </w:r>
    </w:p>
    <w:p w:rsidR="00201B2B" w:rsidRPr="00201B2B" w:rsidRDefault="00201B2B" w:rsidP="00201B2B">
      <w:pPr>
        <w:pStyle w:val="ECHRParaQuote"/>
        <w:rPr>
          <w:lang w:val="fr-FR"/>
        </w:rPr>
      </w:pPr>
      <w:r w:rsidRPr="00201B2B">
        <w:rPr>
          <w:lang w:val="fr-FR"/>
        </w:rPr>
        <w:t>« Les fonctionnaires et les employés de l</w:t>
      </w:r>
      <w:r w:rsidR="00014593">
        <w:rPr>
          <w:lang w:val="fr-FR"/>
        </w:rPr>
        <w:t>’</w:t>
      </w:r>
      <w:r w:rsidRPr="00201B2B">
        <w:rPr>
          <w:lang w:val="fr-FR"/>
        </w:rPr>
        <w:t xml:space="preserve">État et des organismes publics </w:t>
      </w:r>
      <w:r w:rsidRPr="00201B2B">
        <w:rPr>
          <w:i/>
          <w:lang w:val="fr-FR"/>
        </w:rPr>
        <w:t>(enti pubblici</w:t>
      </w:r>
      <w:r w:rsidRPr="00201B2B">
        <w:rPr>
          <w:lang w:val="fr-FR"/>
        </w:rPr>
        <w:t>) sont directement responsables, selon les lois pénales, civiles et administratives, pour les actes accomplis en violation de droits. Dans ces cas, la responsabilité civile s</w:t>
      </w:r>
      <w:r w:rsidR="00014593">
        <w:rPr>
          <w:lang w:val="fr-FR"/>
        </w:rPr>
        <w:t>’</w:t>
      </w:r>
      <w:r w:rsidRPr="00201B2B">
        <w:rPr>
          <w:lang w:val="fr-FR"/>
        </w:rPr>
        <w:t>étend à l</w:t>
      </w:r>
      <w:r w:rsidR="00014593">
        <w:rPr>
          <w:lang w:val="fr-FR"/>
        </w:rPr>
        <w:t>’</w:t>
      </w:r>
      <w:r w:rsidRPr="00201B2B">
        <w:rPr>
          <w:lang w:val="fr-FR"/>
        </w:rPr>
        <w:t>État et aux organismes publics. »</w:t>
      </w:r>
    </w:p>
    <w:p w:rsidR="00201B2B" w:rsidRPr="00201B2B" w:rsidRDefault="00201B2B" w:rsidP="00201B2B">
      <w:pPr>
        <w:pStyle w:val="ECHRParaQuote"/>
        <w:ind w:left="0" w:firstLine="0"/>
        <w:jc w:val="center"/>
        <w:rPr>
          <w:b/>
          <w:lang w:val="fr-FR"/>
        </w:rPr>
      </w:pPr>
      <w:r w:rsidRPr="00201B2B">
        <w:rPr>
          <w:b/>
          <w:lang w:val="fr-FR"/>
        </w:rPr>
        <w:t>Article 32 § 1</w:t>
      </w:r>
    </w:p>
    <w:p w:rsidR="00201B2B" w:rsidRPr="00201B2B" w:rsidRDefault="00201B2B" w:rsidP="00201B2B">
      <w:pPr>
        <w:pStyle w:val="ECHRParaQuote"/>
        <w:rPr>
          <w:lang w:val="fr-FR"/>
        </w:rPr>
      </w:pPr>
      <w:r w:rsidRPr="00201B2B">
        <w:rPr>
          <w:lang w:val="fr-FR"/>
        </w:rPr>
        <w:t>« La République protège la santé comme droit fondamental de l</w:t>
      </w:r>
      <w:r w:rsidR="00014593">
        <w:rPr>
          <w:lang w:val="fr-FR"/>
        </w:rPr>
        <w:t>’</w:t>
      </w:r>
      <w:r w:rsidRPr="00201B2B">
        <w:rPr>
          <w:lang w:val="fr-FR"/>
        </w:rPr>
        <w:t>individu et intérêt de la collectivité et garantit des soins gratuits aux personnes dépourvues de moyens. »</w:t>
      </w:r>
    </w:p>
    <w:p w:rsidR="00201B2B" w:rsidRPr="00201B2B" w:rsidRDefault="00201B2B" w:rsidP="00201B2B">
      <w:pPr>
        <w:pStyle w:val="ECHRTitle1"/>
        <w:rPr>
          <w:lang w:val="fr-FR"/>
        </w:rPr>
      </w:pPr>
      <w:r w:rsidRPr="00201B2B">
        <w:rPr>
          <w:lang w:val="fr-FR"/>
        </w:rPr>
        <w:t>GRIEF</w:t>
      </w:r>
    </w:p>
    <w:p w:rsidR="00201B2B" w:rsidRPr="00201B2B" w:rsidRDefault="00201B2B" w:rsidP="00201B2B">
      <w:pPr>
        <w:pStyle w:val="ECHRPara"/>
        <w:rPr>
          <w:lang w:val="fr-FR"/>
        </w:rPr>
      </w:pPr>
      <w:r w:rsidRPr="00201B2B">
        <w:rPr>
          <w:lang w:val="fr-FR"/>
        </w:rPr>
        <w:t>21.  Invoquant l</w:t>
      </w:r>
      <w:r w:rsidR="00014593">
        <w:rPr>
          <w:lang w:val="fr-FR"/>
        </w:rPr>
        <w:t>’</w:t>
      </w:r>
      <w:r w:rsidRPr="00201B2B">
        <w:rPr>
          <w:lang w:val="fr-FR"/>
        </w:rPr>
        <w:t>article 2 de la Convention, les requérants reprochent aux autorités le décès de leur proche.</w:t>
      </w:r>
    </w:p>
    <w:p w:rsidR="00201B2B" w:rsidRPr="00201B2B" w:rsidRDefault="00201B2B" w:rsidP="00201B2B">
      <w:pPr>
        <w:pStyle w:val="ECHRTitle1"/>
        <w:rPr>
          <w:lang w:val="fr-FR"/>
        </w:rPr>
      </w:pPr>
      <w:r w:rsidRPr="00201B2B">
        <w:rPr>
          <w:lang w:val="fr-FR"/>
        </w:rPr>
        <w:t>EN DROIT</w:t>
      </w:r>
    </w:p>
    <w:p w:rsidR="00201B2B" w:rsidRDefault="00201B2B" w:rsidP="00201B2B">
      <w:pPr>
        <w:pStyle w:val="JuParaChar"/>
        <w:rPr>
          <w:lang w:val="fr-FR"/>
        </w:rPr>
      </w:pPr>
      <w:r>
        <w:rPr>
          <w:lang w:val="fr-FR"/>
        </w:rPr>
        <w:t>22.  Les requérants allèguent que le décès de leur fils et frère résulte d</w:t>
      </w:r>
      <w:r w:rsidR="00014593">
        <w:rPr>
          <w:lang w:val="fr-FR"/>
        </w:rPr>
        <w:t>’</w:t>
      </w:r>
      <w:r>
        <w:rPr>
          <w:lang w:val="fr-FR"/>
        </w:rPr>
        <w:t>une violation de l</w:t>
      </w:r>
      <w:r w:rsidR="00014593">
        <w:rPr>
          <w:lang w:val="fr-FR"/>
        </w:rPr>
        <w:t>’</w:t>
      </w:r>
      <w:r>
        <w:rPr>
          <w:lang w:val="fr-FR"/>
        </w:rPr>
        <w:t>article 2 de la Convention, ainsi libellé :</w:t>
      </w:r>
    </w:p>
    <w:p w:rsidR="00201B2B" w:rsidRPr="00201B2B" w:rsidRDefault="00201B2B" w:rsidP="00201B2B">
      <w:pPr>
        <w:pStyle w:val="ECHRParaQuote"/>
        <w:rPr>
          <w:lang w:val="fr-FR"/>
        </w:rPr>
      </w:pPr>
      <w:r w:rsidRPr="00201B2B">
        <w:rPr>
          <w:lang w:val="fr-FR"/>
        </w:rPr>
        <w:t>« 1.  Le droit de toute personne à la vie est protégé par la loi. La mort ne peut être infligée à quiconque intentionnellement, sauf en exécution d</w:t>
      </w:r>
      <w:r w:rsidR="00014593">
        <w:rPr>
          <w:lang w:val="fr-FR"/>
        </w:rPr>
        <w:t>’</w:t>
      </w:r>
      <w:r w:rsidRPr="00201B2B">
        <w:rPr>
          <w:lang w:val="fr-FR"/>
        </w:rPr>
        <w:t>une sentence capitale prononcée par un tribunal au cas où le délit est puni de cette peine par la loi.</w:t>
      </w:r>
    </w:p>
    <w:p w:rsidR="00201B2B" w:rsidRPr="00201B2B" w:rsidRDefault="00201B2B" w:rsidP="00201B2B">
      <w:pPr>
        <w:pStyle w:val="ECHRParaQuote"/>
        <w:rPr>
          <w:lang w:val="fr-FR"/>
        </w:rPr>
      </w:pPr>
      <w:r w:rsidRPr="00201B2B">
        <w:rPr>
          <w:lang w:val="fr-FR"/>
        </w:rPr>
        <w:t>2.  La mort n</w:t>
      </w:r>
      <w:r w:rsidR="00014593">
        <w:rPr>
          <w:lang w:val="fr-FR"/>
        </w:rPr>
        <w:t>’</w:t>
      </w:r>
      <w:r w:rsidRPr="00201B2B">
        <w:rPr>
          <w:lang w:val="fr-FR"/>
        </w:rPr>
        <w:t>est pas considérée comme infligée en violation de cet article dans les cas où elle résulterait d</w:t>
      </w:r>
      <w:r w:rsidR="00014593">
        <w:rPr>
          <w:lang w:val="fr-FR"/>
        </w:rPr>
        <w:t>’</w:t>
      </w:r>
      <w:r w:rsidRPr="00201B2B">
        <w:rPr>
          <w:lang w:val="fr-FR"/>
        </w:rPr>
        <w:t>un recours à la force rendu absolument nécessaire :</w:t>
      </w:r>
    </w:p>
    <w:p w:rsidR="00201B2B" w:rsidRPr="00201B2B" w:rsidRDefault="00201B2B" w:rsidP="00201B2B">
      <w:pPr>
        <w:pStyle w:val="ECHRParaQuote"/>
        <w:rPr>
          <w:lang w:val="fr-FR"/>
        </w:rPr>
      </w:pPr>
      <w:r w:rsidRPr="00201B2B">
        <w:rPr>
          <w:lang w:val="fr-FR"/>
        </w:rPr>
        <w:t>a)  pour assurer la défense de toute personne contre la violence illégale ;</w:t>
      </w:r>
    </w:p>
    <w:p w:rsidR="00201B2B" w:rsidRPr="00201B2B" w:rsidRDefault="00201B2B" w:rsidP="00201B2B">
      <w:pPr>
        <w:pStyle w:val="ECHRParaQuote"/>
        <w:rPr>
          <w:lang w:val="fr-FR"/>
        </w:rPr>
      </w:pPr>
      <w:r w:rsidRPr="00201B2B">
        <w:rPr>
          <w:lang w:val="fr-FR"/>
        </w:rPr>
        <w:t>b)  pour effectuer une arrestation régulière ou pour empêcher l</w:t>
      </w:r>
      <w:r w:rsidR="00014593">
        <w:rPr>
          <w:lang w:val="fr-FR"/>
        </w:rPr>
        <w:t>’</w:t>
      </w:r>
      <w:r w:rsidRPr="00201B2B">
        <w:rPr>
          <w:lang w:val="fr-FR"/>
        </w:rPr>
        <w:t>évasion d</w:t>
      </w:r>
      <w:r w:rsidR="00014593">
        <w:rPr>
          <w:lang w:val="fr-FR"/>
        </w:rPr>
        <w:t>’</w:t>
      </w:r>
      <w:r w:rsidRPr="00201B2B">
        <w:rPr>
          <w:lang w:val="fr-FR"/>
        </w:rPr>
        <w:t>une personne régulièrement détenue ;</w:t>
      </w:r>
    </w:p>
    <w:p w:rsidR="00201B2B" w:rsidRPr="00201B2B" w:rsidRDefault="00201B2B" w:rsidP="00201B2B">
      <w:pPr>
        <w:pStyle w:val="ECHRParaQuote"/>
        <w:rPr>
          <w:lang w:val="fr-FR"/>
        </w:rPr>
      </w:pPr>
      <w:r w:rsidRPr="00201B2B">
        <w:rPr>
          <w:lang w:val="fr-FR"/>
        </w:rPr>
        <w:t>c)  pour réprimer, conformément à la loi, une émeute ou une insurrection. »</w:t>
      </w:r>
    </w:p>
    <w:p w:rsidR="00201B2B" w:rsidRDefault="00201B2B" w:rsidP="00201B2B">
      <w:pPr>
        <w:pStyle w:val="JuParaChar"/>
        <w:rPr>
          <w:lang w:val="fr-FR"/>
        </w:rPr>
      </w:pPr>
      <w:r>
        <w:rPr>
          <w:lang w:val="fr-FR"/>
        </w:rPr>
        <w:t>23</w:t>
      </w:r>
      <w:r w:rsidRPr="00712D41">
        <w:rPr>
          <w:lang w:val="fr-FR"/>
        </w:rPr>
        <w:t xml:space="preserve">.  Le Gouvernement </w:t>
      </w:r>
      <w:r>
        <w:rPr>
          <w:lang w:val="fr-FR"/>
        </w:rPr>
        <w:t>conteste</w:t>
      </w:r>
      <w:r w:rsidRPr="00712D41">
        <w:rPr>
          <w:lang w:val="fr-FR"/>
        </w:rPr>
        <w:t xml:space="preserve"> </w:t>
      </w:r>
      <w:r>
        <w:rPr>
          <w:lang w:val="fr-FR"/>
        </w:rPr>
        <w:t>cette thèse</w:t>
      </w:r>
      <w:r w:rsidRPr="00712D41">
        <w:rPr>
          <w:lang w:val="fr-FR"/>
        </w:rPr>
        <w:t>.</w:t>
      </w:r>
    </w:p>
    <w:p w:rsidR="00201B2B" w:rsidRPr="00201B2B" w:rsidRDefault="00201B2B" w:rsidP="00201B2B">
      <w:pPr>
        <w:pStyle w:val="ECHRHeading2"/>
        <w:rPr>
          <w:lang w:val="fr-FR"/>
        </w:rPr>
      </w:pPr>
      <w:r w:rsidRPr="00201B2B">
        <w:rPr>
          <w:lang w:val="fr-FR"/>
        </w:rPr>
        <w:t>A.  Arguments des parties</w:t>
      </w:r>
    </w:p>
    <w:p w:rsidR="00201B2B" w:rsidRPr="00201B2B" w:rsidRDefault="00201B2B" w:rsidP="00201B2B">
      <w:pPr>
        <w:pStyle w:val="ECHRHeading3"/>
        <w:rPr>
          <w:lang w:val="fr-FR"/>
        </w:rPr>
      </w:pPr>
      <w:r w:rsidRPr="00201B2B">
        <w:rPr>
          <w:lang w:val="fr-FR"/>
        </w:rPr>
        <w:t>1.  Les requérants</w:t>
      </w:r>
    </w:p>
    <w:p w:rsidR="00201B2B" w:rsidRPr="00201B2B" w:rsidRDefault="00201B2B" w:rsidP="00201B2B">
      <w:pPr>
        <w:pStyle w:val="ECHRPara"/>
        <w:rPr>
          <w:lang w:val="fr-FR"/>
        </w:rPr>
      </w:pPr>
      <w:r w:rsidRPr="00201B2B">
        <w:rPr>
          <w:lang w:val="fr-FR"/>
        </w:rPr>
        <w:t>24.  Les requérants soutiennent que les autorités italiennes ont omis d</w:t>
      </w:r>
      <w:r w:rsidR="00014593">
        <w:rPr>
          <w:lang w:val="fr-FR"/>
        </w:rPr>
        <w:t>’</w:t>
      </w:r>
      <w:r w:rsidRPr="00201B2B">
        <w:rPr>
          <w:lang w:val="fr-FR"/>
        </w:rPr>
        <w:t>empêcher leur proche de se procurer des stupéfiants à l</w:t>
      </w:r>
      <w:r w:rsidR="00014593">
        <w:rPr>
          <w:lang w:val="fr-FR"/>
        </w:rPr>
        <w:t>’</w:t>
      </w:r>
      <w:r w:rsidRPr="00201B2B">
        <w:rPr>
          <w:lang w:val="fr-FR"/>
        </w:rPr>
        <w:t>intérieur du pénitencier de Voghera et ont de la sorte manqué à leur obligation de protéger sa vie. Selon les intéressés, la Cour de cassation a précisé que l</w:t>
      </w:r>
      <w:r w:rsidR="00014593">
        <w:rPr>
          <w:lang w:val="fr-FR"/>
        </w:rPr>
        <w:t>’</w:t>
      </w:r>
      <w:r w:rsidRPr="00201B2B">
        <w:rPr>
          <w:lang w:val="fr-FR"/>
        </w:rPr>
        <w:t>usage volontaire de stupéfiants impliquait une prise de risque mais ne neutralisait pas complètement le lien de causalité entre le décès et l</w:t>
      </w:r>
      <w:r w:rsidR="00014593">
        <w:rPr>
          <w:lang w:val="fr-FR"/>
        </w:rPr>
        <w:t>’</w:t>
      </w:r>
      <w:r w:rsidRPr="00201B2B">
        <w:rPr>
          <w:lang w:val="fr-FR"/>
        </w:rPr>
        <w:t>omission de surveillance et que cela n</w:t>
      </w:r>
      <w:r w:rsidR="00014593">
        <w:rPr>
          <w:lang w:val="fr-FR"/>
        </w:rPr>
        <w:t>’</w:t>
      </w:r>
      <w:r w:rsidRPr="00201B2B">
        <w:rPr>
          <w:lang w:val="fr-FR"/>
        </w:rPr>
        <w:t>excluait pas par conséquent la responsabilité des autorités. En d</w:t>
      </w:r>
      <w:r w:rsidR="00014593">
        <w:rPr>
          <w:lang w:val="fr-FR"/>
        </w:rPr>
        <w:t>’</w:t>
      </w:r>
      <w:r w:rsidRPr="00201B2B">
        <w:rPr>
          <w:lang w:val="fr-FR"/>
        </w:rPr>
        <w:t>autres termes, les requérants estiment que ledit usage n</w:t>
      </w:r>
      <w:r w:rsidR="00014593">
        <w:rPr>
          <w:lang w:val="fr-FR"/>
        </w:rPr>
        <w:t>’</w:t>
      </w:r>
      <w:r w:rsidRPr="00201B2B">
        <w:rPr>
          <w:lang w:val="fr-FR"/>
        </w:rPr>
        <w:t>était pas à lui seul suffisant à déterminer l</w:t>
      </w:r>
      <w:r w:rsidR="00014593">
        <w:rPr>
          <w:lang w:val="fr-FR"/>
        </w:rPr>
        <w:t>’</w:t>
      </w:r>
      <w:r w:rsidRPr="00201B2B">
        <w:rPr>
          <w:lang w:val="fr-FR"/>
        </w:rPr>
        <w:t>événement en cause.</w:t>
      </w:r>
    </w:p>
    <w:p w:rsidR="00201B2B" w:rsidRPr="00201B2B" w:rsidRDefault="00201B2B" w:rsidP="00201B2B">
      <w:pPr>
        <w:pStyle w:val="ECHRPara"/>
        <w:rPr>
          <w:lang w:val="fr-FR"/>
        </w:rPr>
      </w:pPr>
      <w:r w:rsidRPr="00201B2B">
        <w:rPr>
          <w:lang w:val="fr-FR"/>
        </w:rPr>
        <w:t>25.  En outre, les requérants observent que, aux termes de l</w:t>
      </w:r>
      <w:r w:rsidR="00014593">
        <w:rPr>
          <w:lang w:val="fr-FR"/>
        </w:rPr>
        <w:t>’</w:t>
      </w:r>
      <w:r w:rsidRPr="00201B2B">
        <w:rPr>
          <w:lang w:val="fr-FR"/>
        </w:rPr>
        <w:t>article 40 § 2 du CP, « ne pas empêcher un événement qu</w:t>
      </w:r>
      <w:r w:rsidR="00014593">
        <w:rPr>
          <w:lang w:val="fr-FR"/>
        </w:rPr>
        <w:t>’</w:t>
      </w:r>
      <w:r w:rsidRPr="00201B2B">
        <w:rPr>
          <w:lang w:val="fr-FR"/>
        </w:rPr>
        <w:t>on a l</w:t>
      </w:r>
      <w:r w:rsidR="00014593">
        <w:rPr>
          <w:lang w:val="fr-FR"/>
        </w:rPr>
        <w:t>’</w:t>
      </w:r>
      <w:r w:rsidRPr="00201B2B">
        <w:rPr>
          <w:lang w:val="fr-FR"/>
        </w:rPr>
        <w:t>obligation juridique d</w:t>
      </w:r>
      <w:r w:rsidR="00014593">
        <w:rPr>
          <w:lang w:val="fr-FR"/>
        </w:rPr>
        <w:t>’</w:t>
      </w:r>
      <w:r w:rsidRPr="00201B2B">
        <w:rPr>
          <w:lang w:val="fr-FR"/>
        </w:rPr>
        <w:t>empêcher équivaut à le provoquer ». Ils indiquent que la cour d</w:t>
      </w:r>
      <w:r w:rsidR="00014593">
        <w:rPr>
          <w:lang w:val="fr-FR"/>
        </w:rPr>
        <w:t>’</w:t>
      </w:r>
      <w:r w:rsidRPr="00201B2B">
        <w:rPr>
          <w:lang w:val="fr-FR"/>
        </w:rPr>
        <w:t>appel de Milan a affirmé qu</w:t>
      </w:r>
      <w:r w:rsidR="00014593">
        <w:rPr>
          <w:lang w:val="fr-FR"/>
        </w:rPr>
        <w:t>’</w:t>
      </w:r>
      <w:r w:rsidRPr="00201B2B">
        <w:rPr>
          <w:lang w:val="fr-FR"/>
        </w:rPr>
        <w:t>aucune disposition interne n</w:t>
      </w:r>
      <w:r w:rsidR="00014593">
        <w:rPr>
          <w:lang w:val="fr-FR"/>
        </w:rPr>
        <w:t>’</w:t>
      </w:r>
      <w:r w:rsidRPr="00201B2B">
        <w:rPr>
          <w:lang w:val="fr-FR"/>
        </w:rPr>
        <w:t>obligeait l</w:t>
      </w:r>
      <w:r w:rsidR="00014593">
        <w:rPr>
          <w:lang w:val="fr-FR"/>
        </w:rPr>
        <w:t>’</w:t>
      </w:r>
      <w:r w:rsidRPr="00201B2B">
        <w:rPr>
          <w:lang w:val="fr-FR"/>
        </w:rPr>
        <w:t>administration pénitentiaire à empêcher l</w:t>
      </w:r>
      <w:r w:rsidR="00014593">
        <w:rPr>
          <w:lang w:val="fr-FR"/>
        </w:rPr>
        <w:t>’</w:t>
      </w:r>
      <w:r w:rsidRPr="00201B2B">
        <w:rPr>
          <w:lang w:val="fr-FR"/>
        </w:rPr>
        <w:t>usage de stupéfiants par des détenus, et ils considèrent que, ce faisant, elle est parvenue à une conclusion « absurde ». Ils soutiennent que, au contraire, l</w:t>
      </w:r>
      <w:r w:rsidR="00014593">
        <w:rPr>
          <w:lang w:val="fr-FR"/>
        </w:rPr>
        <w:t>’</w:t>
      </w:r>
      <w:r w:rsidRPr="00201B2B">
        <w:rPr>
          <w:lang w:val="fr-FR"/>
        </w:rPr>
        <w:t xml:space="preserve">article 32 de la Constitution protège le droit à la santé de tout individu, y compris </w:t>
      </w:r>
      <w:r w:rsidRPr="00201B2B">
        <w:rPr>
          <w:rFonts w:cstheme="minorHAnsi"/>
          <w:lang w:val="fr-FR"/>
        </w:rPr>
        <w:t>– selon eux –</w:t>
      </w:r>
      <w:r w:rsidRPr="00201B2B">
        <w:rPr>
          <w:lang w:val="fr-FR"/>
        </w:rPr>
        <w:t xml:space="preserve"> des détenus, qu</w:t>
      </w:r>
      <w:r w:rsidR="00014593">
        <w:rPr>
          <w:lang w:val="fr-FR"/>
        </w:rPr>
        <w:t>’</w:t>
      </w:r>
      <w:r w:rsidRPr="00201B2B">
        <w:rPr>
          <w:lang w:val="fr-FR"/>
        </w:rPr>
        <w:t>il est notoire que les stupéfiants sont mauvais pour la santé et que l</w:t>
      </w:r>
      <w:r w:rsidR="00014593">
        <w:rPr>
          <w:lang w:val="fr-FR"/>
        </w:rPr>
        <w:t>’</w:t>
      </w:r>
      <w:r w:rsidRPr="00201B2B">
        <w:rPr>
          <w:lang w:val="fr-FR"/>
        </w:rPr>
        <w:t>interdiction de les introduire en prison vise donc aussi à garantir la santé des personnes privées de liberté.</w:t>
      </w:r>
    </w:p>
    <w:p w:rsidR="00201B2B" w:rsidRPr="00201B2B" w:rsidRDefault="00201B2B" w:rsidP="00201B2B">
      <w:pPr>
        <w:pStyle w:val="ECHRPara"/>
        <w:rPr>
          <w:lang w:val="fr-FR"/>
        </w:rPr>
      </w:pPr>
      <w:bookmarkStart w:id="2" w:name="chiensrequ"/>
      <w:r w:rsidRPr="00201B2B">
        <w:rPr>
          <w:lang w:val="fr-FR"/>
        </w:rPr>
        <w:t>26</w:t>
      </w:r>
      <w:bookmarkEnd w:id="2"/>
      <w:r w:rsidRPr="00201B2B">
        <w:rPr>
          <w:lang w:val="fr-FR"/>
        </w:rPr>
        <w:t>.  Les requérants estiment de plus que l</w:t>
      </w:r>
      <w:r w:rsidR="00014593">
        <w:rPr>
          <w:lang w:val="fr-FR"/>
        </w:rPr>
        <w:t>’</w:t>
      </w:r>
      <w:r w:rsidRPr="00201B2B">
        <w:rPr>
          <w:lang w:val="fr-FR"/>
        </w:rPr>
        <w:t>on ne saurait retenir l</w:t>
      </w:r>
      <w:r w:rsidR="00014593">
        <w:rPr>
          <w:lang w:val="fr-FR"/>
        </w:rPr>
        <w:t>’</w:t>
      </w:r>
      <w:r w:rsidRPr="00201B2B">
        <w:rPr>
          <w:lang w:val="fr-FR"/>
        </w:rPr>
        <w:t>argument du Gouvernement, selon lequel l</w:t>
      </w:r>
      <w:r w:rsidR="00014593">
        <w:rPr>
          <w:lang w:val="fr-FR"/>
        </w:rPr>
        <w:t>’</w:t>
      </w:r>
      <w:r w:rsidRPr="00201B2B">
        <w:rPr>
          <w:lang w:val="fr-FR"/>
        </w:rPr>
        <w:t>utilisation de chiens détecteurs de drogue avait été exclue afin d</w:t>
      </w:r>
      <w:r w:rsidR="00014593">
        <w:rPr>
          <w:lang w:val="fr-FR"/>
        </w:rPr>
        <w:t>’</w:t>
      </w:r>
      <w:r w:rsidRPr="00201B2B">
        <w:rPr>
          <w:lang w:val="fr-FR"/>
        </w:rPr>
        <w:t>éviter d</w:t>
      </w:r>
      <w:r w:rsidR="00014593">
        <w:rPr>
          <w:lang w:val="fr-FR"/>
        </w:rPr>
        <w:t>’</w:t>
      </w:r>
      <w:r w:rsidRPr="00201B2B">
        <w:rPr>
          <w:lang w:val="fr-FR"/>
        </w:rPr>
        <w:t>intimider les familles effectuant des visites à leurs proches détenus (paragraphe 27 ci-après). Ils indiquent que des chiens capables de repérer la présence de stupéfiants sont présents dans les aéroports. Ils considèrent que des méthodes de contrôle plus incisives ne sauraient être écartées par crainte de violer le droit au respect de la vie privée, ce droit n</w:t>
      </w:r>
      <w:r w:rsidR="00014593">
        <w:rPr>
          <w:lang w:val="fr-FR"/>
        </w:rPr>
        <w:t>’</w:t>
      </w:r>
      <w:r w:rsidRPr="00201B2B">
        <w:rPr>
          <w:lang w:val="fr-FR"/>
        </w:rPr>
        <w:t xml:space="preserve">étant pas </w:t>
      </w:r>
      <w:r w:rsidRPr="00201B2B">
        <w:rPr>
          <w:rFonts w:cstheme="minorHAnsi"/>
          <w:lang w:val="fr-FR"/>
        </w:rPr>
        <w:t>– à leurs yeux –</w:t>
      </w:r>
      <w:r w:rsidRPr="00201B2B">
        <w:rPr>
          <w:lang w:val="fr-FR"/>
        </w:rPr>
        <w:t xml:space="preserve"> plus important que le droit à la vie.</w:t>
      </w:r>
    </w:p>
    <w:p w:rsidR="00201B2B" w:rsidRPr="00201B2B" w:rsidRDefault="00201B2B" w:rsidP="00201B2B">
      <w:pPr>
        <w:pStyle w:val="ECHRPara"/>
        <w:rPr>
          <w:lang w:val="fr-FR"/>
        </w:rPr>
      </w:pPr>
      <w:bookmarkStart w:id="3" w:name="autredetenurequ"/>
      <w:r w:rsidRPr="00201B2B">
        <w:rPr>
          <w:lang w:val="fr-FR"/>
        </w:rPr>
        <w:t>28</w:t>
      </w:r>
      <w:bookmarkEnd w:id="3"/>
      <w:r w:rsidRPr="00201B2B">
        <w:rPr>
          <w:lang w:val="fr-FR"/>
        </w:rPr>
        <w:t>.  Les requérants affirment enfin que leur fils et frère venait de s</w:t>
      </w:r>
      <w:r w:rsidR="00014593">
        <w:rPr>
          <w:lang w:val="fr-FR"/>
        </w:rPr>
        <w:t>’</w:t>
      </w:r>
      <w:r w:rsidRPr="00201B2B">
        <w:rPr>
          <w:lang w:val="fr-FR"/>
        </w:rPr>
        <w:t>évader d</w:t>
      </w:r>
      <w:r w:rsidR="00014593">
        <w:rPr>
          <w:lang w:val="fr-FR"/>
        </w:rPr>
        <w:t>’</w:t>
      </w:r>
      <w:r w:rsidRPr="00201B2B">
        <w:rPr>
          <w:lang w:val="fr-FR"/>
        </w:rPr>
        <w:t>une communauté pour toxicomanes et qu</w:t>
      </w:r>
      <w:r w:rsidR="00014593">
        <w:rPr>
          <w:lang w:val="fr-FR"/>
        </w:rPr>
        <w:t>’</w:t>
      </w:r>
      <w:r w:rsidRPr="00201B2B">
        <w:rPr>
          <w:lang w:val="fr-FR"/>
        </w:rPr>
        <w:t>il avait été placé dans la même cellule qu</w:t>
      </w:r>
      <w:r w:rsidR="00014593">
        <w:rPr>
          <w:lang w:val="fr-FR"/>
        </w:rPr>
        <w:t>’</w:t>
      </w:r>
      <w:r w:rsidRPr="00201B2B">
        <w:rPr>
          <w:lang w:val="fr-FR"/>
        </w:rPr>
        <w:t>un détenu accusé de trafic de drogue. Ils ajoutent qu</w:t>
      </w:r>
      <w:r w:rsidR="00014593">
        <w:rPr>
          <w:lang w:val="fr-FR"/>
        </w:rPr>
        <w:t>’</w:t>
      </w:r>
      <w:r w:rsidRPr="00201B2B">
        <w:rPr>
          <w:lang w:val="fr-FR"/>
        </w:rPr>
        <w:t>un test effectué sur cette personne le jour du décès de leur proche avait donné un résultat positif au dépistage de stupéfiants. Ils considèrent que le placement de leur proche dans la cellule en question a été « un comble d</w:t>
      </w:r>
      <w:r w:rsidR="00014593">
        <w:rPr>
          <w:lang w:val="fr-FR"/>
        </w:rPr>
        <w:t>’</w:t>
      </w:r>
      <w:r w:rsidRPr="00201B2B">
        <w:rPr>
          <w:lang w:val="fr-FR"/>
        </w:rPr>
        <w:t>ignorance et de sottise ».</w:t>
      </w:r>
    </w:p>
    <w:p w:rsidR="00201B2B" w:rsidRPr="00201B2B" w:rsidRDefault="00201B2B" w:rsidP="00201B2B">
      <w:pPr>
        <w:pStyle w:val="ECHRHeading3"/>
        <w:rPr>
          <w:lang w:val="fr-FR"/>
        </w:rPr>
      </w:pPr>
      <w:r w:rsidRPr="00201B2B">
        <w:rPr>
          <w:lang w:val="fr-FR"/>
        </w:rPr>
        <w:t>2.  Le Gouvernement</w:t>
      </w:r>
    </w:p>
    <w:p w:rsidR="00201B2B" w:rsidRDefault="00201B2B" w:rsidP="00201B2B">
      <w:pPr>
        <w:ind w:firstLine="232"/>
        <w:rPr>
          <w:lang w:val="fr-FR"/>
        </w:rPr>
      </w:pPr>
      <w:r>
        <w:rPr>
          <w:lang w:val="fr-FR"/>
        </w:rPr>
        <w:t>29</w:t>
      </w:r>
      <w:r w:rsidRPr="008B025D">
        <w:rPr>
          <w:lang w:val="fr-FR"/>
        </w:rPr>
        <w:t>.  </w:t>
      </w:r>
      <w:r w:rsidRPr="00057079">
        <w:rPr>
          <w:lang w:val="fr-FR"/>
        </w:rPr>
        <w:t xml:space="preserve">Le Gouvernement </w:t>
      </w:r>
      <w:r>
        <w:rPr>
          <w:lang w:val="fr-FR"/>
        </w:rPr>
        <w:t xml:space="preserve">indique </w:t>
      </w:r>
      <w:r w:rsidRPr="00057079">
        <w:rPr>
          <w:lang w:val="fr-FR"/>
        </w:rPr>
        <w:t>que l</w:t>
      </w:r>
      <w:r w:rsidR="00014593">
        <w:rPr>
          <w:lang w:val="fr-FR"/>
        </w:rPr>
        <w:t>’</w:t>
      </w:r>
      <w:r>
        <w:rPr>
          <w:lang w:val="fr-FR"/>
        </w:rPr>
        <w:t>État</w:t>
      </w:r>
      <w:r w:rsidRPr="00057079">
        <w:rPr>
          <w:lang w:val="fr-FR"/>
        </w:rPr>
        <w:t xml:space="preserve"> </w:t>
      </w:r>
      <w:r>
        <w:rPr>
          <w:lang w:val="fr-FR"/>
        </w:rPr>
        <w:t>est tenu par d</w:t>
      </w:r>
      <w:r w:rsidRPr="00BB1603">
        <w:rPr>
          <w:lang w:val="fr-FR"/>
        </w:rPr>
        <w:t xml:space="preserve">es obligations positives </w:t>
      </w:r>
      <w:r w:rsidRPr="00057079">
        <w:rPr>
          <w:lang w:val="fr-FR"/>
        </w:rPr>
        <w:t>de protéger la vie lorsqu</w:t>
      </w:r>
      <w:r w:rsidR="00014593">
        <w:rPr>
          <w:lang w:val="fr-FR"/>
        </w:rPr>
        <w:t>’</w:t>
      </w:r>
      <w:r w:rsidRPr="00057079">
        <w:rPr>
          <w:lang w:val="fr-FR"/>
        </w:rPr>
        <w:t>il y a un risque imm</w:t>
      </w:r>
      <w:r>
        <w:rPr>
          <w:lang w:val="fr-FR"/>
        </w:rPr>
        <w:t>é</w:t>
      </w:r>
      <w:r w:rsidRPr="00057079">
        <w:rPr>
          <w:lang w:val="fr-FR"/>
        </w:rPr>
        <w:t>diat, concret et prévisible pour la vie d</w:t>
      </w:r>
      <w:r w:rsidR="00014593">
        <w:rPr>
          <w:lang w:val="fr-FR"/>
        </w:rPr>
        <w:t>’</w:t>
      </w:r>
      <w:r w:rsidRPr="00057079">
        <w:rPr>
          <w:lang w:val="fr-FR"/>
        </w:rPr>
        <w:t xml:space="preserve">un individu identifiable et lorsque les mesures nécessaires </w:t>
      </w:r>
      <w:r>
        <w:rPr>
          <w:lang w:val="fr-FR"/>
        </w:rPr>
        <w:t xml:space="preserve">pour </w:t>
      </w:r>
      <w:r w:rsidRPr="00057079">
        <w:rPr>
          <w:lang w:val="fr-FR"/>
        </w:rPr>
        <w:t>pallier</w:t>
      </w:r>
      <w:r>
        <w:rPr>
          <w:lang w:val="fr-FR"/>
        </w:rPr>
        <w:t xml:space="preserve"> ce </w:t>
      </w:r>
      <w:r w:rsidRPr="00057079">
        <w:rPr>
          <w:lang w:val="fr-FR"/>
        </w:rPr>
        <w:t xml:space="preserve">risque sont raisonnables. </w:t>
      </w:r>
      <w:r>
        <w:rPr>
          <w:lang w:val="fr-FR"/>
        </w:rPr>
        <w:t>Il ajoute que c</w:t>
      </w:r>
      <w:r w:rsidRPr="00044264">
        <w:rPr>
          <w:lang w:val="fr-FR"/>
        </w:rPr>
        <w:t>eci s</w:t>
      </w:r>
      <w:r w:rsidR="00014593">
        <w:rPr>
          <w:lang w:val="fr-FR"/>
        </w:rPr>
        <w:t>’</w:t>
      </w:r>
      <w:r w:rsidRPr="00044264">
        <w:rPr>
          <w:lang w:val="fr-FR"/>
        </w:rPr>
        <w:t>applique également aux prisonniers compte tenu de leur situation de vulnérabilité</w:t>
      </w:r>
      <w:r>
        <w:rPr>
          <w:lang w:val="fr-FR"/>
        </w:rPr>
        <w:t>, en se référant notamment aux arrêts</w:t>
      </w:r>
      <w:r w:rsidRPr="00044264">
        <w:rPr>
          <w:lang w:val="fr-FR"/>
        </w:rPr>
        <w:t xml:space="preserve"> </w:t>
      </w:r>
      <w:r w:rsidR="00101152" w:rsidRPr="00044264">
        <w:rPr>
          <w:i/>
          <w:lang w:val="fr-FR"/>
        </w:rPr>
        <w:t xml:space="preserve">Salman c. Turquie </w:t>
      </w:r>
      <w:r w:rsidR="00101152" w:rsidRPr="008F6E86">
        <w:rPr>
          <w:lang w:val="fr-FR"/>
        </w:rPr>
        <w:t>(</w:t>
      </w:r>
      <w:r w:rsidR="00101152" w:rsidRPr="00044264">
        <w:rPr>
          <w:lang w:val="fr-FR"/>
        </w:rPr>
        <w:t>[GC], n</w:t>
      </w:r>
      <w:r w:rsidR="00101152" w:rsidRPr="00201B2B">
        <w:rPr>
          <w:vertAlign w:val="superscript"/>
          <w:lang w:val="fr-FR"/>
        </w:rPr>
        <w:t>o</w:t>
      </w:r>
      <w:r w:rsidR="00101152" w:rsidRPr="00044264">
        <w:rPr>
          <w:lang w:val="fr-FR"/>
        </w:rPr>
        <w:t xml:space="preserve"> 21986/03, CEDH 2000</w:t>
      </w:r>
      <w:r w:rsidR="00101152">
        <w:rPr>
          <w:lang w:val="fr-FR"/>
        </w:rPr>
        <w:t>-</w:t>
      </w:r>
      <w:r w:rsidR="00101152" w:rsidRPr="00044264">
        <w:rPr>
          <w:lang w:val="fr-FR"/>
        </w:rPr>
        <w:t>VII</w:t>
      </w:r>
      <w:r w:rsidR="00101152">
        <w:rPr>
          <w:lang w:val="fr-FR"/>
        </w:rPr>
        <w:t xml:space="preserve">), </w:t>
      </w:r>
      <w:r w:rsidR="00101152" w:rsidRPr="00044264">
        <w:rPr>
          <w:i/>
          <w:lang w:val="fr-FR"/>
        </w:rPr>
        <w:t>Trubnikov c. Russie</w:t>
      </w:r>
      <w:r w:rsidR="00101152" w:rsidRPr="00044264">
        <w:rPr>
          <w:lang w:val="fr-FR"/>
        </w:rPr>
        <w:t xml:space="preserve"> </w:t>
      </w:r>
      <w:r w:rsidR="00101152">
        <w:rPr>
          <w:lang w:val="fr-FR"/>
        </w:rPr>
        <w:t>(</w:t>
      </w:r>
      <w:r w:rsidR="00101152" w:rsidRPr="00044264">
        <w:rPr>
          <w:lang w:val="fr-FR"/>
        </w:rPr>
        <w:t>n</w:t>
      </w:r>
      <w:r w:rsidR="00101152" w:rsidRPr="00201B2B">
        <w:rPr>
          <w:vertAlign w:val="superscript"/>
          <w:lang w:val="fr-FR"/>
        </w:rPr>
        <w:t>o</w:t>
      </w:r>
      <w:r w:rsidR="00101152" w:rsidRPr="00044264">
        <w:rPr>
          <w:lang w:val="fr-FR"/>
        </w:rPr>
        <w:t xml:space="preserve"> 49790/99, 5</w:t>
      </w:r>
      <w:r w:rsidR="00101152">
        <w:rPr>
          <w:lang w:val="fr-FR"/>
        </w:rPr>
        <w:t> </w:t>
      </w:r>
      <w:r w:rsidR="00101152" w:rsidRPr="00044264">
        <w:rPr>
          <w:lang w:val="fr-FR"/>
        </w:rPr>
        <w:t>juillet 2005</w:t>
      </w:r>
      <w:r w:rsidR="00101152">
        <w:rPr>
          <w:lang w:val="fr-FR"/>
        </w:rPr>
        <w:t xml:space="preserve">) et </w:t>
      </w:r>
      <w:r w:rsidR="00EB22ED" w:rsidRPr="00044264">
        <w:rPr>
          <w:i/>
          <w:lang w:val="fr-FR"/>
        </w:rPr>
        <w:t>Keenan c. Royaume-Uni</w:t>
      </w:r>
      <w:r w:rsidR="00EB22ED" w:rsidRPr="00044264">
        <w:rPr>
          <w:lang w:val="fr-FR"/>
        </w:rPr>
        <w:t xml:space="preserve"> </w:t>
      </w:r>
      <w:r w:rsidR="00EB22ED">
        <w:rPr>
          <w:lang w:val="fr-FR"/>
        </w:rPr>
        <w:t>(</w:t>
      </w:r>
      <w:r w:rsidR="00EB22ED" w:rsidRPr="00044264">
        <w:rPr>
          <w:lang w:val="fr-FR"/>
        </w:rPr>
        <w:t>n</w:t>
      </w:r>
      <w:r w:rsidR="00EB22ED" w:rsidRPr="00201B2B">
        <w:rPr>
          <w:vertAlign w:val="superscript"/>
          <w:lang w:val="fr-FR"/>
        </w:rPr>
        <w:t>o</w:t>
      </w:r>
      <w:r w:rsidR="00EB22ED">
        <w:rPr>
          <w:lang w:val="fr-FR"/>
        </w:rPr>
        <w:t> 27229/95</w:t>
      </w:r>
      <w:r w:rsidR="00EB22ED" w:rsidRPr="00044264">
        <w:rPr>
          <w:lang w:val="fr-FR"/>
        </w:rPr>
        <w:t>, CEDH 2001</w:t>
      </w:r>
      <w:r w:rsidR="00EB22ED">
        <w:rPr>
          <w:lang w:val="fr-FR"/>
        </w:rPr>
        <w:t>-</w:t>
      </w:r>
      <w:r w:rsidR="00EB22ED" w:rsidRPr="00044264">
        <w:rPr>
          <w:lang w:val="fr-FR"/>
        </w:rPr>
        <w:t>III</w:t>
      </w:r>
      <w:r w:rsidR="00101152">
        <w:rPr>
          <w:lang w:val="fr-FR"/>
        </w:rPr>
        <w:t>)</w:t>
      </w:r>
      <w:r>
        <w:rPr>
          <w:lang w:val="fr-FR"/>
        </w:rPr>
        <w:t>,</w:t>
      </w:r>
      <w:r w:rsidRPr="00044264">
        <w:rPr>
          <w:lang w:val="fr-FR"/>
        </w:rPr>
        <w:t xml:space="preserve"> </w:t>
      </w:r>
      <w:r w:rsidR="00EB22ED">
        <w:rPr>
          <w:lang w:val="fr-FR"/>
        </w:rPr>
        <w:t>et</w:t>
      </w:r>
      <w:r>
        <w:rPr>
          <w:lang w:val="fr-FR"/>
        </w:rPr>
        <w:t>, mais il estime qu</w:t>
      </w:r>
      <w:r w:rsidR="00014593">
        <w:rPr>
          <w:lang w:val="fr-FR"/>
        </w:rPr>
        <w:t>’</w:t>
      </w:r>
      <w:r>
        <w:rPr>
          <w:lang w:val="fr-FR"/>
        </w:rPr>
        <w:t xml:space="preserve">on ne saurait imposer aux autorités un </w:t>
      </w:r>
      <w:r w:rsidRPr="00057079">
        <w:rPr>
          <w:rStyle w:val="sb8d990e2"/>
          <w:lang w:val="fr-FR"/>
        </w:rPr>
        <w:t>fardeau insupportable ou excessif.</w:t>
      </w:r>
    </w:p>
    <w:p w:rsidR="00201B2B" w:rsidRDefault="00201B2B" w:rsidP="00201B2B">
      <w:pPr>
        <w:ind w:firstLine="232"/>
        <w:rPr>
          <w:lang w:val="fr-FR"/>
        </w:rPr>
      </w:pPr>
      <w:bookmarkStart w:id="4" w:name="faitpasusagedrogue2"/>
      <w:r>
        <w:rPr>
          <w:lang w:val="fr-FR"/>
        </w:rPr>
        <w:t>30</w:t>
      </w:r>
      <w:bookmarkEnd w:id="4"/>
      <w:r>
        <w:rPr>
          <w:lang w:val="fr-FR"/>
        </w:rPr>
        <w:t>.  En l</w:t>
      </w:r>
      <w:r w:rsidR="00014593">
        <w:rPr>
          <w:lang w:val="fr-FR"/>
        </w:rPr>
        <w:t>’</w:t>
      </w:r>
      <w:r>
        <w:rPr>
          <w:lang w:val="fr-FR"/>
        </w:rPr>
        <w:t>espèce, le Gouvernement considère que l</w:t>
      </w:r>
      <w:r w:rsidR="00014593">
        <w:rPr>
          <w:lang w:val="fr-FR"/>
        </w:rPr>
        <w:t>’</w:t>
      </w:r>
      <w:r>
        <w:rPr>
          <w:lang w:val="fr-FR"/>
        </w:rPr>
        <w:t>administration n</w:t>
      </w:r>
      <w:r w:rsidR="00014593">
        <w:rPr>
          <w:lang w:val="fr-FR"/>
        </w:rPr>
        <w:t>’</w:t>
      </w:r>
      <w:r>
        <w:rPr>
          <w:lang w:val="fr-FR"/>
        </w:rPr>
        <w:t>a pas été négligente dans la surveillance de Sergio Marra et que les mesures prises pour protéger ce dernier étaient raisonnables et adéquates. Il indique que, le jour de son arrestation, l</w:t>
      </w:r>
      <w:r w:rsidR="00014593">
        <w:rPr>
          <w:lang w:val="fr-FR"/>
        </w:rPr>
        <w:t>’</w:t>
      </w:r>
      <w:r>
        <w:rPr>
          <w:lang w:val="fr-FR"/>
        </w:rPr>
        <w:t>intéressé était apparu calme et coopératif. Il ajoute que celui-ci avait montré des signes de sa toxicomanie et d</w:t>
      </w:r>
      <w:r w:rsidR="00014593">
        <w:rPr>
          <w:lang w:val="fr-FR"/>
        </w:rPr>
        <w:t>’</w:t>
      </w:r>
      <w:r>
        <w:rPr>
          <w:lang w:val="fr-FR"/>
        </w:rPr>
        <w:t>un début de crise de sevrage et que, pour cette raison, il avait été soumis à une procédure de désintoxication. Il précise qu</w:t>
      </w:r>
      <w:r w:rsidR="00014593">
        <w:rPr>
          <w:lang w:val="fr-FR"/>
        </w:rPr>
        <w:t>’</w:t>
      </w:r>
      <w:r>
        <w:rPr>
          <w:lang w:val="fr-FR"/>
        </w:rPr>
        <w:t>il avait été placé dans une cellule collective et avait fait l</w:t>
      </w:r>
      <w:r w:rsidR="00014593">
        <w:rPr>
          <w:lang w:val="fr-FR"/>
        </w:rPr>
        <w:t>’</w:t>
      </w:r>
      <w:r>
        <w:rPr>
          <w:lang w:val="fr-FR"/>
        </w:rPr>
        <w:t>objet de visites médicales hebdomadaires. Il affirme également que l</w:t>
      </w:r>
      <w:r w:rsidR="00014593">
        <w:rPr>
          <w:lang w:val="fr-FR"/>
        </w:rPr>
        <w:t>’</w:t>
      </w:r>
      <w:r>
        <w:rPr>
          <w:lang w:val="fr-FR"/>
        </w:rPr>
        <w:t>intéressé avait déclaré au médecin de la prison qu</w:t>
      </w:r>
      <w:r w:rsidR="00014593">
        <w:rPr>
          <w:lang w:val="fr-FR"/>
        </w:rPr>
        <w:t>’</w:t>
      </w:r>
      <w:r>
        <w:rPr>
          <w:lang w:val="fr-FR"/>
        </w:rPr>
        <w:t>il ne faisait plus usage de stupéfiants d</w:t>
      </w:r>
      <w:r w:rsidRPr="00920A64">
        <w:rPr>
          <w:lang w:val="fr-FR"/>
        </w:rPr>
        <w:t>epuis deux ans</w:t>
      </w:r>
      <w:r>
        <w:rPr>
          <w:lang w:val="fr-FR"/>
        </w:rPr>
        <w:t xml:space="preserve"> et que son état général semblait bon. De plus, il indique qu</w:t>
      </w:r>
      <w:r w:rsidR="00014593">
        <w:rPr>
          <w:lang w:val="fr-FR"/>
        </w:rPr>
        <w:t>’</w:t>
      </w:r>
      <w:r>
        <w:rPr>
          <w:lang w:val="fr-FR"/>
        </w:rPr>
        <w:t>aucun élément ne donnait à penser que sa vie était en danger, qu</w:t>
      </w:r>
      <w:r w:rsidR="00014593">
        <w:rPr>
          <w:lang w:val="fr-FR"/>
        </w:rPr>
        <w:t>’</w:t>
      </w:r>
      <w:r>
        <w:rPr>
          <w:lang w:val="fr-FR"/>
        </w:rPr>
        <w:t>il n</w:t>
      </w:r>
      <w:r w:rsidR="00014593">
        <w:rPr>
          <w:lang w:val="fr-FR"/>
        </w:rPr>
        <w:t>’</w:t>
      </w:r>
      <w:r>
        <w:rPr>
          <w:lang w:val="fr-FR"/>
        </w:rPr>
        <w:t>avait pas donné de signes de troubles mentaux et qu</w:t>
      </w:r>
      <w:r w:rsidR="00014593">
        <w:rPr>
          <w:lang w:val="fr-FR"/>
        </w:rPr>
        <w:t>’</w:t>
      </w:r>
      <w:r>
        <w:rPr>
          <w:lang w:val="fr-FR"/>
        </w:rPr>
        <w:t>il n</w:t>
      </w:r>
      <w:r w:rsidR="00014593">
        <w:rPr>
          <w:lang w:val="fr-FR"/>
        </w:rPr>
        <w:t>’</w:t>
      </w:r>
      <w:r>
        <w:rPr>
          <w:lang w:val="fr-FR"/>
        </w:rPr>
        <w:t>avait été soumis à aucune mesure spéciale de coercition. Par ailleurs, pour le Gouvernement, rien n</w:t>
      </w:r>
      <w:r w:rsidR="00014593">
        <w:rPr>
          <w:lang w:val="fr-FR"/>
        </w:rPr>
        <w:t>’</w:t>
      </w:r>
      <w:r>
        <w:rPr>
          <w:lang w:val="fr-FR"/>
        </w:rPr>
        <w:t>empêche de penser que la mort de Sergio Marra était la conséquence non pas d</w:t>
      </w:r>
      <w:r w:rsidR="00014593">
        <w:rPr>
          <w:lang w:val="fr-FR"/>
        </w:rPr>
        <w:t>’</w:t>
      </w:r>
      <w:r>
        <w:rPr>
          <w:lang w:val="fr-FR"/>
        </w:rPr>
        <w:t>un suicide, mais de l</w:t>
      </w:r>
      <w:r w:rsidR="00014593">
        <w:rPr>
          <w:lang w:val="fr-FR"/>
        </w:rPr>
        <w:t>’</w:t>
      </w:r>
      <w:r>
        <w:rPr>
          <w:lang w:val="fr-FR"/>
        </w:rPr>
        <w:t>injection accidentelle d</w:t>
      </w:r>
      <w:r w:rsidR="00014593">
        <w:rPr>
          <w:lang w:val="fr-FR"/>
        </w:rPr>
        <w:t>’</w:t>
      </w:r>
      <w:r>
        <w:rPr>
          <w:lang w:val="fr-FR"/>
        </w:rPr>
        <w:t xml:space="preserve">une dose excessive de stupéfiants, et donc </w:t>
      </w:r>
      <w:r>
        <w:rPr>
          <w:rFonts w:cstheme="minorHAnsi"/>
          <w:lang w:val="fr-FR"/>
        </w:rPr>
        <w:t>– selon lui –</w:t>
      </w:r>
      <w:r>
        <w:rPr>
          <w:lang w:val="fr-FR"/>
        </w:rPr>
        <w:t xml:space="preserve"> d</w:t>
      </w:r>
      <w:r w:rsidR="00014593">
        <w:rPr>
          <w:lang w:val="fr-FR"/>
        </w:rPr>
        <w:t>’</w:t>
      </w:r>
      <w:r>
        <w:rPr>
          <w:lang w:val="fr-FR"/>
        </w:rPr>
        <w:t>un événement tout à fait imprévisible.</w:t>
      </w:r>
    </w:p>
    <w:p w:rsidR="00201B2B" w:rsidRDefault="00201B2B" w:rsidP="00201B2B">
      <w:pPr>
        <w:ind w:firstLine="232"/>
        <w:rPr>
          <w:lang w:val="fr-FR"/>
        </w:rPr>
      </w:pPr>
      <w:bookmarkStart w:id="5" w:name="mesuressecuritévoghera"/>
      <w:r>
        <w:rPr>
          <w:lang w:val="fr-FR"/>
        </w:rPr>
        <w:t>31</w:t>
      </w:r>
      <w:bookmarkEnd w:id="5"/>
      <w:r>
        <w:rPr>
          <w:lang w:val="fr-FR"/>
        </w:rPr>
        <w:t>.  Pour ce qui est des mesures générales visant au contrôle et à la prévention de la circulation des stupéfiants en milieu carcéral, le Gouvernement indique que tout pénitencier dispose d</w:t>
      </w:r>
      <w:r w:rsidR="00014593">
        <w:rPr>
          <w:lang w:val="fr-FR"/>
        </w:rPr>
        <w:t>’</w:t>
      </w:r>
      <w:r>
        <w:rPr>
          <w:lang w:val="fr-FR"/>
        </w:rPr>
        <w:t>une liste d</w:t>
      </w:r>
      <w:r w:rsidR="00014593">
        <w:rPr>
          <w:lang w:val="fr-FR"/>
        </w:rPr>
        <w:t>’</w:t>
      </w:r>
      <w:r>
        <w:rPr>
          <w:lang w:val="fr-FR"/>
        </w:rPr>
        <w:t>objets qui peuvent entrer et circuler et que les stupéfiants n</w:t>
      </w:r>
      <w:r w:rsidR="00014593">
        <w:rPr>
          <w:lang w:val="fr-FR"/>
        </w:rPr>
        <w:t>’</w:t>
      </w:r>
      <w:r>
        <w:rPr>
          <w:lang w:val="fr-FR"/>
        </w:rPr>
        <w:t>en font pas partie. I</w:t>
      </w:r>
      <w:r w:rsidRPr="00F54257">
        <w:rPr>
          <w:lang w:val="fr-FR"/>
        </w:rPr>
        <w:t>l précise que</w:t>
      </w:r>
      <w:r>
        <w:rPr>
          <w:lang w:val="fr-FR"/>
        </w:rPr>
        <w:t>, à l</w:t>
      </w:r>
      <w:r w:rsidR="00014593">
        <w:rPr>
          <w:lang w:val="fr-FR"/>
        </w:rPr>
        <w:t>’</w:t>
      </w:r>
      <w:r>
        <w:rPr>
          <w:lang w:val="fr-FR"/>
        </w:rPr>
        <w:t>époque des faits, la prison de Voghera prohibait l</w:t>
      </w:r>
      <w:r w:rsidR="00014593">
        <w:rPr>
          <w:lang w:val="fr-FR"/>
        </w:rPr>
        <w:t>’</w:t>
      </w:r>
      <w:r>
        <w:rPr>
          <w:lang w:val="fr-FR"/>
        </w:rPr>
        <w:t xml:space="preserve">introduction de différents produits </w:t>
      </w:r>
      <w:r>
        <w:rPr>
          <w:rFonts w:cstheme="minorHAnsi"/>
          <w:lang w:val="fr-FR"/>
        </w:rPr>
        <w:t>–</w:t>
      </w:r>
      <w:r>
        <w:rPr>
          <w:lang w:val="fr-FR"/>
        </w:rPr>
        <w:t xml:space="preserve"> à savoir les produits en poudre ou en grains, le savon et les seringues </w:t>
      </w:r>
      <w:r>
        <w:rPr>
          <w:rFonts w:cstheme="minorHAnsi"/>
          <w:lang w:val="fr-FR"/>
        </w:rPr>
        <w:t>–</w:t>
      </w:r>
      <w:r>
        <w:rPr>
          <w:lang w:val="fr-FR"/>
        </w:rPr>
        <w:t xml:space="preserve"> et que, </w:t>
      </w:r>
      <w:r w:rsidRPr="00815BCD">
        <w:rPr>
          <w:lang w:val="fr-FR"/>
        </w:rPr>
        <w:t>avant l</w:t>
      </w:r>
      <w:r w:rsidR="00014593">
        <w:rPr>
          <w:lang w:val="fr-FR"/>
        </w:rPr>
        <w:t>’</w:t>
      </w:r>
      <w:r w:rsidRPr="00815BCD">
        <w:rPr>
          <w:lang w:val="fr-FR"/>
        </w:rPr>
        <w:t>entrée en contact avec les prisonniers</w:t>
      </w:r>
      <w:r>
        <w:rPr>
          <w:lang w:val="fr-FR"/>
        </w:rPr>
        <w:t>, toute personne faisait l</w:t>
      </w:r>
      <w:r w:rsidR="00014593">
        <w:rPr>
          <w:lang w:val="fr-FR"/>
        </w:rPr>
        <w:t>’</w:t>
      </w:r>
      <w:r>
        <w:rPr>
          <w:lang w:val="fr-FR"/>
        </w:rPr>
        <w:t>objet d</w:t>
      </w:r>
      <w:r w:rsidR="00014593">
        <w:rPr>
          <w:lang w:val="fr-FR"/>
        </w:rPr>
        <w:t>’</w:t>
      </w:r>
      <w:r>
        <w:rPr>
          <w:lang w:val="fr-FR"/>
        </w:rPr>
        <w:t>une fouille et tout colis d</w:t>
      </w:r>
      <w:r w:rsidR="00014593">
        <w:rPr>
          <w:lang w:val="fr-FR"/>
        </w:rPr>
        <w:t>’</w:t>
      </w:r>
      <w:r>
        <w:rPr>
          <w:lang w:val="fr-FR"/>
        </w:rPr>
        <w:t>une inspection. Il ajoute que les visiteurs, les agents pénitentiaires et les prisonniers devaient passer sous un détecteur électromagnétique et que, en plus, les détenus étaient soumis à une fouille corporelle.</w:t>
      </w:r>
    </w:p>
    <w:p w:rsidR="00201B2B" w:rsidRDefault="00201B2B" w:rsidP="00201B2B">
      <w:pPr>
        <w:ind w:firstLine="232"/>
        <w:rPr>
          <w:lang w:val="fr-FR"/>
        </w:rPr>
      </w:pPr>
      <w:bookmarkStart w:id="6" w:name="chiensGvt"/>
      <w:r>
        <w:rPr>
          <w:lang w:val="fr-FR"/>
        </w:rPr>
        <w:t>32</w:t>
      </w:r>
      <w:bookmarkEnd w:id="6"/>
      <w:r>
        <w:rPr>
          <w:lang w:val="fr-FR"/>
        </w:rPr>
        <w:t>.  Le Gouvernement soutient en outre que les détenus ont développé au cours des années des systèmes ingénieux pour avoir accès à des drogues, lesquelles seraient parfois cachées sous des timbres postaux, dans des effets personnels, dans des chaussures, dans la nourriture, entre deux feuilles de papier, ou imprégnées dans des images, ou bien parfois transmises par des baisers. Il estime que l</w:t>
      </w:r>
      <w:r w:rsidR="00014593">
        <w:rPr>
          <w:lang w:val="fr-FR"/>
        </w:rPr>
        <w:t>’</w:t>
      </w:r>
      <w:r>
        <w:rPr>
          <w:lang w:val="fr-FR"/>
        </w:rPr>
        <w:t>administration ne saurait être tenue pour responsable à chaque fois que l</w:t>
      </w:r>
      <w:r w:rsidR="00014593">
        <w:rPr>
          <w:lang w:val="fr-FR"/>
        </w:rPr>
        <w:t>’</w:t>
      </w:r>
      <w:r>
        <w:rPr>
          <w:lang w:val="fr-FR"/>
        </w:rPr>
        <w:t xml:space="preserve">un de ces stratagèmes </w:t>
      </w:r>
      <w:r>
        <w:rPr>
          <w:rFonts w:cstheme="minorHAnsi"/>
          <w:lang w:val="fr-FR"/>
        </w:rPr>
        <w:t>–</w:t>
      </w:r>
      <w:r>
        <w:rPr>
          <w:lang w:val="fr-FR"/>
        </w:rPr>
        <w:t xml:space="preserve"> à ses dires inopinés et imprévisibles </w:t>
      </w:r>
      <w:r w:rsidRPr="000966C0">
        <w:rPr>
          <w:lang w:val="fr-FR"/>
        </w:rPr>
        <w:t>–</w:t>
      </w:r>
      <w:r>
        <w:rPr>
          <w:lang w:val="fr-FR"/>
        </w:rPr>
        <w:t xml:space="preserve"> se révèle efficace. Il attire également l</w:t>
      </w:r>
      <w:r w:rsidR="00014593">
        <w:rPr>
          <w:lang w:val="fr-FR"/>
        </w:rPr>
        <w:t>’</w:t>
      </w:r>
      <w:r>
        <w:rPr>
          <w:lang w:val="fr-FR"/>
        </w:rPr>
        <w:t>attention de la Cour sur le nombre de détenus toxicomanes en Italie (selon lui : en juin 1995, 15 336 détenus sur 51 973, soit 29,51 % du total de la population carcérale, et, au 31 décembre 2012, 15 663 détenus sur 65 701).</w:t>
      </w:r>
    </w:p>
    <w:p w:rsidR="00201B2B" w:rsidRDefault="00201B2B" w:rsidP="00201B2B">
      <w:pPr>
        <w:ind w:firstLine="232"/>
        <w:rPr>
          <w:lang w:val="fr-FR"/>
        </w:rPr>
      </w:pPr>
      <w:r>
        <w:rPr>
          <w:lang w:val="fr-FR"/>
        </w:rPr>
        <w:t>33.  De plus, le Gouvernement considère qu</w:t>
      </w:r>
      <w:r w:rsidR="00014593">
        <w:rPr>
          <w:lang w:val="fr-FR"/>
        </w:rPr>
        <w:t>’</w:t>
      </w:r>
      <w:r>
        <w:rPr>
          <w:lang w:val="fr-FR"/>
        </w:rPr>
        <w:t>effectuer des fouilles fréquentes et systématiques au sein des prisons pourrait ne pas s</w:t>
      </w:r>
      <w:r w:rsidR="00014593">
        <w:rPr>
          <w:lang w:val="fr-FR"/>
        </w:rPr>
        <w:t>’</w:t>
      </w:r>
      <w:r>
        <w:rPr>
          <w:lang w:val="fr-FR"/>
        </w:rPr>
        <w:t>avérer efficace et pourrait violer la vie privée et la dignité humaine des détenus. À cet égard, il ajoute que l</w:t>
      </w:r>
      <w:r w:rsidR="00014593">
        <w:rPr>
          <w:lang w:val="fr-FR"/>
        </w:rPr>
        <w:t>’</w:t>
      </w:r>
      <w:r>
        <w:rPr>
          <w:lang w:val="fr-FR"/>
        </w:rPr>
        <w:t>administration pénitentiaire a exclu l</w:t>
      </w:r>
      <w:r w:rsidR="00014593">
        <w:rPr>
          <w:lang w:val="fr-FR"/>
        </w:rPr>
        <w:t>’</w:t>
      </w:r>
      <w:r>
        <w:rPr>
          <w:lang w:val="fr-FR"/>
        </w:rPr>
        <w:t xml:space="preserve">utilisation de chiens détecteurs de drogue pour ne pas intimider les familles qui visitent leurs proches détenus, mettant ainsi en balance </w:t>
      </w:r>
      <w:r>
        <w:rPr>
          <w:rFonts w:cstheme="minorHAnsi"/>
          <w:lang w:val="fr-FR"/>
        </w:rPr>
        <w:t>–</w:t>
      </w:r>
      <w:r>
        <w:rPr>
          <w:lang w:val="fr-FR"/>
        </w:rPr>
        <w:t xml:space="preserve"> d</w:t>
      </w:r>
      <w:r w:rsidR="00014593">
        <w:rPr>
          <w:lang w:val="fr-FR"/>
        </w:rPr>
        <w:t>’</w:t>
      </w:r>
      <w:r>
        <w:rPr>
          <w:lang w:val="fr-FR"/>
        </w:rPr>
        <w:t xml:space="preserve">après lui </w:t>
      </w:r>
      <w:r>
        <w:rPr>
          <w:rFonts w:cstheme="minorHAnsi"/>
          <w:lang w:val="fr-FR"/>
        </w:rPr>
        <w:t>–</w:t>
      </w:r>
      <w:r>
        <w:rPr>
          <w:lang w:val="fr-FR"/>
        </w:rPr>
        <w:t xml:space="preserve"> l</w:t>
      </w:r>
      <w:r w:rsidR="00014593">
        <w:rPr>
          <w:lang w:val="fr-FR"/>
        </w:rPr>
        <w:t>’</w:t>
      </w:r>
      <w:r>
        <w:rPr>
          <w:lang w:val="fr-FR"/>
        </w:rPr>
        <w:t>obligation de protéger la santé avec le droit au respect de la vie familiale.</w:t>
      </w:r>
    </w:p>
    <w:p w:rsidR="00201B2B" w:rsidRDefault="00201B2B" w:rsidP="00201B2B">
      <w:pPr>
        <w:ind w:firstLine="232"/>
        <w:rPr>
          <w:lang w:val="fr-FR"/>
        </w:rPr>
      </w:pPr>
      <w:r>
        <w:rPr>
          <w:lang w:val="fr-FR"/>
        </w:rPr>
        <w:t>34.  Le Gouvernement soutient également qu</w:t>
      </w:r>
      <w:r w:rsidR="00014593">
        <w:rPr>
          <w:lang w:val="fr-FR"/>
        </w:rPr>
        <w:t>’</w:t>
      </w:r>
      <w:r>
        <w:rPr>
          <w:lang w:val="fr-FR"/>
        </w:rPr>
        <w:t>il ressort d</w:t>
      </w:r>
      <w:r w:rsidR="00014593">
        <w:rPr>
          <w:lang w:val="fr-FR"/>
        </w:rPr>
        <w:t>’</w:t>
      </w:r>
      <w:r>
        <w:rPr>
          <w:lang w:val="fr-FR"/>
        </w:rPr>
        <w:t xml:space="preserve">un article publié dans le quotidien </w:t>
      </w:r>
      <w:r>
        <w:rPr>
          <w:i/>
          <w:lang w:val="fr-FR"/>
        </w:rPr>
        <w:t xml:space="preserve">La Repubblica </w:t>
      </w:r>
      <w:r>
        <w:rPr>
          <w:lang w:val="fr-FR"/>
        </w:rPr>
        <w:t>du 28 mai 1997 que les requérants avaient essayé d</w:t>
      </w:r>
      <w:r w:rsidR="00014593">
        <w:rPr>
          <w:lang w:val="fr-FR"/>
        </w:rPr>
        <w:t>’</w:t>
      </w:r>
      <w:r>
        <w:rPr>
          <w:lang w:val="fr-FR"/>
        </w:rPr>
        <w:t>envoyer de la nourriture à leur proche et que leurs colis leur avaient été retournés car l</w:t>
      </w:r>
      <w:r w:rsidR="00014593">
        <w:rPr>
          <w:lang w:val="fr-FR"/>
        </w:rPr>
        <w:t>’</w:t>
      </w:r>
      <w:r>
        <w:rPr>
          <w:lang w:val="fr-FR"/>
        </w:rPr>
        <w:t>administration du pénitencier aurait considéré qu</w:t>
      </w:r>
      <w:r w:rsidR="00014593">
        <w:rPr>
          <w:lang w:val="fr-FR"/>
        </w:rPr>
        <w:t>’</w:t>
      </w:r>
      <w:r>
        <w:rPr>
          <w:lang w:val="fr-FR"/>
        </w:rPr>
        <w:t>ils étaient un moyen potentiel pour cacher de la drogue.</w:t>
      </w:r>
    </w:p>
    <w:p w:rsidR="00201B2B" w:rsidRDefault="00201B2B" w:rsidP="00201B2B">
      <w:pPr>
        <w:ind w:firstLine="232"/>
        <w:rPr>
          <w:lang w:val="fr-FR"/>
        </w:rPr>
      </w:pPr>
      <w:r>
        <w:rPr>
          <w:lang w:val="fr-FR"/>
        </w:rPr>
        <w:t>35.  Par ailleurs, le Gouvernement indique que, comme la Cour de cassation l</w:t>
      </w:r>
      <w:r w:rsidR="00014593">
        <w:rPr>
          <w:lang w:val="fr-FR"/>
        </w:rPr>
        <w:t>’</w:t>
      </w:r>
      <w:r>
        <w:rPr>
          <w:lang w:val="fr-FR"/>
        </w:rPr>
        <w:t xml:space="preserve">aurait à juste titre souligné, on ne pouvait pas exclure que les stupéfiants seraient parvenus à Sergio Marra même si </w:t>
      </w:r>
      <w:r w:rsidRPr="00684D89">
        <w:rPr>
          <w:lang w:val="fr-FR"/>
        </w:rPr>
        <w:t>tous les contrôles possibles</w:t>
      </w:r>
      <w:r>
        <w:rPr>
          <w:lang w:val="fr-FR"/>
        </w:rPr>
        <w:t xml:space="preserve"> </w:t>
      </w:r>
      <w:r w:rsidRPr="00684D89">
        <w:rPr>
          <w:lang w:val="fr-FR"/>
        </w:rPr>
        <w:t xml:space="preserve">avaient </w:t>
      </w:r>
      <w:r>
        <w:rPr>
          <w:lang w:val="fr-FR"/>
        </w:rPr>
        <w:t xml:space="preserve">été </w:t>
      </w:r>
      <w:r w:rsidRPr="00684D89">
        <w:rPr>
          <w:lang w:val="fr-FR"/>
        </w:rPr>
        <w:t>effectué</w:t>
      </w:r>
      <w:r>
        <w:rPr>
          <w:lang w:val="fr-FR"/>
        </w:rPr>
        <w:t>s</w:t>
      </w:r>
      <w:r w:rsidRPr="00684D89">
        <w:rPr>
          <w:lang w:val="fr-FR"/>
        </w:rPr>
        <w:t xml:space="preserve"> </w:t>
      </w:r>
      <w:r>
        <w:rPr>
          <w:lang w:val="fr-FR"/>
        </w:rPr>
        <w:t xml:space="preserve">par les autorités pénitentiaires. Il considère que </w:t>
      </w:r>
      <w:r w:rsidRPr="00684D89">
        <w:rPr>
          <w:lang w:val="fr-FR"/>
        </w:rPr>
        <w:t>les requérants</w:t>
      </w:r>
      <w:r>
        <w:rPr>
          <w:lang w:val="fr-FR"/>
        </w:rPr>
        <w:t xml:space="preserve"> </w:t>
      </w:r>
      <w:r w:rsidRPr="00ED3B1D">
        <w:rPr>
          <w:lang w:val="fr-FR"/>
        </w:rPr>
        <w:t>dénoncent une interprétation – à leurs yeux incorrecte – des dispositions internes pertinentes en l</w:t>
      </w:r>
      <w:r w:rsidR="00014593">
        <w:rPr>
          <w:lang w:val="fr-FR"/>
        </w:rPr>
        <w:t>’</w:t>
      </w:r>
      <w:r w:rsidRPr="00ED3B1D">
        <w:rPr>
          <w:lang w:val="fr-FR"/>
        </w:rPr>
        <w:t>espèce</w:t>
      </w:r>
      <w:r>
        <w:rPr>
          <w:lang w:val="fr-FR"/>
        </w:rPr>
        <w:t xml:space="preserve"> et que, ce faisant, en présentant devant la Cour des doléances selon lui identiques à celles déjà formulées au niveau interne, ils soulèvent pour l</w:t>
      </w:r>
      <w:r w:rsidR="00014593">
        <w:rPr>
          <w:lang w:val="fr-FR"/>
        </w:rPr>
        <w:t>’</w:t>
      </w:r>
      <w:r>
        <w:rPr>
          <w:lang w:val="fr-FR"/>
        </w:rPr>
        <w:t>essentiel un grief qui relève d</w:t>
      </w:r>
      <w:r w:rsidR="00014593">
        <w:rPr>
          <w:lang w:val="fr-FR"/>
        </w:rPr>
        <w:t>’</w:t>
      </w:r>
      <w:r>
        <w:rPr>
          <w:lang w:val="fr-FR"/>
        </w:rPr>
        <w:t>une quatrième instance.</w:t>
      </w:r>
    </w:p>
    <w:p w:rsidR="00201B2B" w:rsidRDefault="00201B2B" w:rsidP="00201B2B">
      <w:pPr>
        <w:ind w:firstLine="232"/>
        <w:rPr>
          <w:lang w:val="fr-FR"/>
        </w:rPr>
      </w:pPr>
      <w:bookmarkStart w:id="7" w:name="autredetenuGvt"/>
      <w:r>
        <w:rPr>
          <w:lang w:val="fr-FR"/>
        </w:rPr>
        <w:t>36</w:t>
      </w:r>
      <w:bookmarkEnd w:id="7"/>
      <w:r>
        <w:rPr>
          <w:lang w:val="fr-FR"/>
        </w:rPr>
        <w:t>.  Le Gouvernement relève de plus que les requérants reprochent aux autorités d</w:t>
      </w:r>
      <w:r w:rsidR="00014593">
        <w:rPr>
          <w:lang w:val="fr-FR"/>
        </w:rPr>
        <w:t>’</w:t>
      </w:r>
      <w:r>
        <w:rPr>
          <w:lang w:val="fr-FR"/>
        </w:rPr>
        <w:t xml:space="preserve">avoir placé leur fils et frère dans une cellule où était détenue une personne accusée de trafic de stupéfiants et pour laquelle un test de dépistage de drogue </w:t>
      </w:r>
      <w:r w:rsidRPr="008F6E86">
        <w:rPr>
          <w:lang w:val="fr-FR"/>
        </w:rPr>
        <w:t>avait donné un résultat positif</w:t>
      </w:r>
      <w:r>
        <w:rPr>
          <w:lang w:val="fr-FR"/>
        </w:rPr>
        <w:t xml:space="preserve"> (paragraphe </w:t>
      </w:r>
      <w:r w:rsidRPr="00201B2B">
        <w:rPr>
          <w:lang w:val="fr-FR"/>
        </w:rPr>
        <w:t>28</w:t>
      </w:r>
      <w:r>
        <w:rPr>
          <w:lang w:val="fr-FR"/>
        </w:rPr>
        <w:t xml:space="preserve"> ci</w:t>
      </w:r>
      <w:r w:rsidR="00014593">
        <w:rPr>
          <w:lang w:val="fr-FR"/>
        </w:rPr>
        <w:noBreakHyphen/>
      </w:r>
      <w:r>
        <w:rPr>
          <w:lang w:val="fr-FR"/>
        </w:rPr>
        <w:t>dessus). Il estime cependant que cette circonstance serait sans importance car de nombreuses mesures auraient été prises pour éviter la circulation de drogue au sein de la prison et car le proche des requérants aurait pu lui</w:t>
      </w:r>
      <w:r w:rsidR="00014593">
        <w:rPr>
          <w:lang w:val="fr-FR"/>
        </w:rPr>
        <w:noBreakHyphen/>
      </w:r>
      <w:r>
        <w:rPr>
          <w:lang w:val="fr-FR"/>
        </w:rPr>
        <w:t>même se procurer des stupéfiants et les partager avec son codétenu.</w:t>
      </w:r>
    </w:p>
    <w:p w:rsidR="00201B2B" w:rsidRDefault="00201B2B" w:rsidP="00201B2B">
      <w:pPr>
        <w:ind w:firstLine="232"/>
        <w:rPr>
          <w:lang w:val="fr-FR"/>
        </w:rPr>
      </w:pPr>
      <w:bookmarkStart w:id="8" w:name="enquetesGvt"/>
      <w:r>
        <w:rPr>
          <w:lang w:val="fr-FR"/>
        </w:rPr>
        <w:t>37</w:t>
      </w:r>
      <w:bookmarkEnd w:id="8"/>
      <w:r>
        <w:rPr>
          <w:lang w:val="fr-FR"/>
        </w:rPr>
        <w:t>.  Le Gouvernement indique également que des investigations avaient été menées dès la découverte du corps de Sergio Marra et qu</w:t>
      </w:r>
      <w:r w:rsidR="00014593">
        <w:rPr>
          <w:lang w:val="fr-FR"/>
        </w:rPr>
        <w:t>’</w:t>
      </w:r>
      <w:r>
        <w:rPr>
          <w:lang w:val="fr-FR"/>
        </w:rPr>
        <w:t>une autopsie avait été effectuée pour déterminer les causes de son décès. Il ajoute qu</w:t>
      </w:r>
      <w:r w:rsidR="00014593">
        <w:rPr>
          <w:lang w:val="fr-FR"/>
        </w:rPr>
        <w:t>’</w:t>
      </w:r>
      <w:r>
        <w:rPr>
          <w:lang w:val="fr-FR"/>
        </w:rPr>
        <w:t>aucun élément permettant d</w:t>
      </w:r>
      <w:r w:rsidR="00014593">
        <w:rPr>
          <w:lang w:val="fr-FR"/>
        </w:rPr>
        <w:t>’</w:t>
      </w:r>
      <w:r>
        <w:rPr>
          <w:lang w:val="fr-FR"/>
        </w:rPr>
        <w:t>en attribuer une quelconque responsabilité à des personnes identifiables n</w:t>
      </w:r>
      <w:r w:rsidR="00014593">
        <w:rPr>
          <w:lang w:val="fr-FR"/>
        </w:rPr>
        <w:t>’</w:t>
      </w:r>
      <w:r>
        <w:rPr>
          <w:lang w:val="fr-FR"/>
        </w:rPr>
        <w:t>avait été décelé et qu</w:t>
      </w:r>
      <w:r w:rsidR="00014593">
        <w:rPr>
          <w:lang w:val="fr-FR"/>
        </w:rPr>
        <w:t>’</w:t>
      </w:r>
      <w:r>
        <w:rPr>
          <w:lang w:val="fr-FR"/>
        </w:rPr>
        <w:t>en conséquence, le 14 septembre 1996, le juge des investigations préliminaires de Voghera avait ordonné le classement sans suite de l</w:t>
      </w:r>
      <w:r w:rsidR="00014593">
        <w:rPr>
          <w:lang w:val="fr-FR"/>
        </w:rPr>
        <w:t>’</w:t>
      </w:r>
      <w:r>
        <w:rPr>
          <w:lang w:val="fr-FR"/>
        </w:rPr>
        <w:t>affaire. Il affirme de même qu</w:t>
      </w:r>
      <w:r w:rsidR="00014593">
        <w:rPr>
          <w:lang w:val="fr-FR"/>
        </w:rPr>
        <w:t>’</w:t>
      </w:r>
      <w:r>
        <w:rPr>
          <w:lang w:val="fr-FR"/>
        </w:rPr>
        <w:t>une enquête administrative avait elle aussi été ouverte tout de suite après les faits et qu</w:t>
      </w:r>
      <w:r w:rsidR="00014593">
        <w:rPr>
          <w:lang w:val="fr-FR"/>
        </w:rPr>
        <w:t>’</w:t>
      </w:r>
      <w:r>
        <w:rPr>
          <w:lang w:val="fr-FR"/>
        </w:rPr>
        <w:t>elle avait abouti à la conclusion que rien d</w:t>
      </w:r>
      <w:r w:rsidR="00014593">
        <w:rPr>
          <w:lang w:val="fr-FR"/>
        </w:rPr>
        <w:t>’</w:t>
      </w:r>
      <w:r>
        <w:rPr>
          <w:lang w:val="fr-FR"/>
        </w:rPr>
        <w:t>anormal n</w:t>
      </w:r>
      <w:r w:rsidR="00014593">
        <w:rPr>
          <w:lang w:val="fr-FR"/>
        </w:rPr>
        <w:t>’</w:t>
      </w:r>
      <w:r>
        <w:rPr>
          <w:lang w:val="fr-FR"/>
        </w:rPr>
        <w:t>aurait été remarqué avant le décès de Sergio Marra. Il indique que les requérants ont par ailleurs eu le loisir d</w:t>
      </w:r>
      <w:r w:rsidR="00014593">
        <w:rPr>
          <w:lang w:val="fr-FR"/>
        </w:rPr>
        <w:t>’</w:t>
      </w:r>
      <w:r>
        <w:rPr>
          <w:lang w:val="fr-FR"/>
        </w:rPr>
        <w:t>introduire une action civile en dédommagement et que celle-ci a été examinée au fond.</w:t>
      </w:r>
    </w:p>
    <w:p w:rsidR="00201B2B" w:rsidRPr="00201B2B" w:rsidRDefault="00201B2B" w:rsidP="00201B2B">
      <w:pPr>
        <w:pStyle w:val="ECHRHeading2"/>
        <w:rPr>
          <w:lang w:val="fr-FR"/>
        </w:rPr>
      </w:pPr>
      <w:r w:rsidRPr="00201B2B">
        <w:rPr>
          <w:lang w:val="fr-FR"/>
        </w:rPr>
        <w:t>B.  Appréciation de la Cour</w:t>
      </w:r>
    </w:p>
    <w:p w:rsidR="00201B2B" w:rsidRPr="00201B2B" w:rsidRDefault="00201B2B" w:rsidP="00201B2B">
      <w:pPr>
        <w:pStyle w:val="ECHRHeading3"/>
        <w:rPr>
          <w:lang w:val="fr-FR"/>
        </w:rPr>
      </w:pPr>
      <w:r w:rsidRPr="00201B2B">
        <w:rPr>
          <w:lang w:val="fr-FR"/>
        </w:rPr>
        <w:t>1.  Principes généraux</w:t>
      </w:r>
    </w:p>
    <w:p w:rsidR="00201B2B" w:rsidRPr="00201B2B" w:rsidRDefault="00201B2B" w:rsidP="00201B2B">
      <w:pPr>
        <w:pStyle w:val="ECHRPara"/>
        <w:rPr>
          <w:rStyle w:val="sb8d990e2"/>
          <w:lang w:val="fr-FR"/>
        </w:rPr>
      </w:pPr>
      <w:r w:rsidRPr="00201B2B">
        <w:rPr>
          <w:lang w:val="fr-FR"/>
        </w:rPr>
        <w:t>38.  </w:t>
      </w:r>
      <w:r w:rsidRPr="00201B2B">
        <w:rPr>
          <w:rStyle w:val="sb8d990e2"/>
          <w:lang w:val="fr-FR"/>
        </w:rPr>
        <w:t>La Cour rappelle que la première phrase de l</w:t>
      </w:r>
      <w:r w:rsidR="00014593">
        <w:rPr>
          <w:rStyle w:val="sb8d990e2"/>
          <w:lang w:val="fr-FR"/>
        </w:rPr>
        <w:t>’</w:t>
      </w:r>
      <w:r w:rsidRPr="00201B2B">
        <w:rPr>
          <w:rStyle w:val="sb8d990e2"/>
          <w:lang w:val="fr-FR"/>
        </w:rPr>
        <w:t>article 2 § 1 de la Convention astreint l</w:t>
      </w:r>
      <w:r w:rsidR="00014593">
        <w:rPr>
          <w:rStyle w:val="sb8d990e2"/>
          <w:lang w:val="fr-FR"/>
        </w:rPr>
        <w:t>’</w:t>
      </w:r>
      <w:r w:rsidRPr="00201B2B">
        <w:rPr>
          <w:rStyle w:val="sb8d990e2"/>
          <w:lang w:val="fr-FR"/>
        </w:rPr>
        <w:t>État non seulement à s</w:t>
      </w:r>
      <w:r w:rsidR="00014593">
        <w:rPr>
          <w:rStyle w:val="sb8d990e2"/>
          <w:lang w:val="fr-FR"/>
        </w:rPr>
        <w:t>’</w:t>
      </w:r>
      <w:r w:rsidRPr="00201B2B">
        <w:rPr>
          <w:rStyle w:val="sb8d990e2"/>
          <w:lang w:val="fr-FR"/>
        </w:rPr>
        <w:t>abstenir de provoquer la mort de manière volontaire et irrégulière, mais aussi à prendre les mesures nécessaires à la protection de la vie des personnes relevant de sa juridiction (</w:t>
      </w:r>
      <w:r w:rsidRPr="00201B2B">
        <w:rPr>
          <w:rStyle w:val="s6b621b36"/>
          <w:i/>
          <w:lang w:val="fr-FR"/>
        </w:rPr>
        <w:t>L.C.B. c. Royaume-Uni</w:t>
      </w:r>
      <w:r w:rsidRPr="00201B2B">
        <w:rPr>
          <w:rStyle w:val="sb8d990e2"/>
          <w:lang w:val="fr-FR"/>
        </w:rPr>
        <w:t xml:space="preserve">, 9 juin 1998, § 36, </w:t>
      </w:r>
      <w:r w:rsidRPr="00201B2B">
        <w:rPr>
          <w:rStyle w:val="s6b621b36"/>
          <w:i/>
          <w:lang w:val="fr-FR"/>
        </w:rPr>
        <w:t>Recueil des arrêts et décisions</w:t>
      </w:r>
      <w:r w:rsidRPr="00201B2B">
        <w:rPr>
          <w:rStyle w:val="sb8d990e2"/>
          <w:lang w:val="fr-FR"/>
        </w:rPr>
        <w:t xml:space="preserve"> 1998</w:t>
      </w:r>
      <w:r w:rsidR="00EB22ED">
        <w:rPr>
          <w:rStyle w:val="sb8d990e2"/>
          <w:lang w:val="fr-FR"/>
        </w:rPr>
        <w:t>-</w:t>
      </w:r>
      <w:r w:rsidRPr="00201B2B">
        <w:rPr>
          <w:rStyle w:val="sb8d990e2"/>
          <w:lang w:val="fr-FR"/>
        </w:rPr>
        <w:t xml:space="preserve">III, et </w:t>
      </w:r>
      <w:r w:rsidRPr="00201B2B">
        <w:rPr>
          <w:rStyle w:val="s6b621b36"/>
          <w:i/>
          <w:lang w:val="fr-FR"/>
        </w:rPr>
        <w:t>Osman c. Royaume-Uni</w:t>
      </w:r>
      <w:r w:rsidRPr="00201B2B">
        <w:rPr>
          <w:rStyle w:val="sb8d990e2"/>
          <w:lang w:val="fr-FR"/>
        </w:rPr>
        <w:t xml:space="preserve">, 28 octobre 1998, § 115, </w:t>
      </w:r>
      <w:r w:rsidRPr="00201B2B">
        <w:rPr>
          <w:rStyle w:val="s6b621b36"/>
          <w:i/>
          <w:lang w:val="fr-FR"/>
        </w:rPr>
        <w:t>Recueil</w:t>
      </w:r>
      <w:r w:rsidRPr="00201B2B">
        <w:rPr>
          <w:rStyle w:val="s6b621b36"/>
          <w:lang w:val="fr-FR"/>
        </w:rPr>
        <w:t xml:space="preserve"> </w:t>
      </w:r>
      <w:r w:rsidRPr="00201B2B">
        <w:rPr>
          <w:rStyle w:val="sb8d990e2"/>
          <w:lang w:val="fr-FR"/>
        </w:rPr>
        <w:t>1998</w:t>
      </w:r>
      <w:r w:rsidR="00014593">
        <w:rPr>
          <w:rStyle w:val="sb8d990e2"/>
          <w:lang w:val="fr-FR"/>
        </w:rPr>
        <w:noBreakHyphen/>
      </w:r>
      <w:r w:rsidRPr="00201B2B">
        <w:rPr>
          <w:rStyle w:val="sb8d990e2"/>
          <w:lang w:val="fr-FR"/>
        </w:rPr>
        <w:t>VIII).</w:t>
      </w:r>
    </w:p>
    <w:p w:rsidR="00201B2B" w:rsidRPr="00201B2B" w:rsidRDefault="00201B2B" w:rsidP="00201B2B">
      <w:pPr>
        <w:pStyle w:val="ECHRPara"/>
        <w:rPr>
          <w:rStyle w:val="sb8d990e2"/>
          <w:lang w:val="fr-FR"/>
        </w:rPr>
      </w:pPr>
      <w:r w:rsidRPr="00201B2B">
        <w:rPr>
          <w:rStyle w:val="sb8d990e2"/>
          <w:lang w:val="fr-FR"/>
        </w:rPr>
        <w:t>39.  La Cour rappelle également que l</w:t>
      </w:r>
      <w:r w:rsidR="00014593">
        <w:rPr>
          <w:rStyle w:val="sb8d990e2"/>
          <w:lang w:val="fr-FR"/>
        </w:rPr>
        <w:t>’</w:t>
      </w:r>
      <w:r w:rsidRPr="00201B2B">
        <w:rPr>
          <w:rStyle w:val="sb8d990e2"/>
          <w:lang w:val="fr-FR"/>
        </w:rPr>
        <w:t>obligation de l</w:t>
      </w:r>
      <w:r w:rsidR="00014593">
        <w:rPr>
          <w:rStyle w:val="sb8d990e2"/>
          <w:lang w:val="fr-FR"/>
        </w:rPr>
        <w:t>’</w:t>
      </w:r>
      <w:r w:rsidRPr="00201B2B">
        <w:rPr>
          <w:rStyle w:val="sb8d990e2"/>
          <w:lang w:val="fr-FR"/>
        </w:rPr>
        <w:t>État va au-delà du devoir primordial d</w:t>
      </w:r>
      <w:r w:rsidR="00014593">
        <w:rPr>
          <w:rStyle w:val="sb8d990e2"/>
          <w:lang w:val="fr-FR"/>
        </w:rPr>
        <w:t>’</w:t>
      </w:r>
      <w:r w:rsidRPr="00201B2B">
        <w:rPr>
          <w:rStyle w:val="sb8d990e2"/>
          <w:lang w:val="fr-FR"/>
        </w:rPr>
        <w:t>assurer le droit à la vie, en mettant en place une législation pénale concrète dissuadant de commettre des atteintes contre la personne et s</w:t>
      </w:r>
      <w:r w:rsidR="00014593">
        <w:rPr>
          <w:rStyle w:val="sb8d990e2"/>
          <w:lang w:val="fr-FR"/>
        </w:rPr>
        <w:t>’</w:t>
      </w:r>
      <w:r w:rsidRPr="00201B2B">
        <w:rPr>
          <w:rStyle w:val="sb8d990e2"/>
          <w:lang w:val="fr-FR"/>
        </w:rPr>
        <w:t>appuyant sur un mécanisme d</w:t>
      </w:r>
      <w:r w:rsidR="00014593">
        <w:rPr>
          <w:rStyle w:val="sb8d990e2"/>
          <w:lang w:val="fr-FR"/>
        </w:rPr>
        <w:t>’</w:t>
      </w:r>
      <w:r w:rsidRPr="00201B2B">
        <w:rPr>
          <w:rStyle w:val="sb8d990e2"/>
          <w:lang w:val="fr-FR"/>
        </w:rPr>
        <w:t>application conçu pour en prévenir, réprimer et sanctionner les violations (</w:t>
      </w:r>
      <w:r w:rsidRPr="00201B2B">
        <w:rPr>
          <w:rStyle w:val="sb8d990e2"/>
          <w:i/>
          <w:lang w:val="fr-FR"/>
        </w:rPr>
        <w:t>Osman</w:t>
      </w:r>
      <w:r w:rsidRPr="00201B2B">
        <w:rPr>
          <w:rStyle w:val="sb8d990e2"/>
          <w:lang w:val="fr-FR"/>
        </w:rPr>
        <w:t xml:space="preserve">, précité, </w:t>
      </w:r>
      <w:r w:rsidRPr="00201B2B">
        <w:rPr>
          <w:rStyle w:val="sb8d990e2"/>
          <w:i/>
          <w:lang w:val="fr-FR"/>
        </w:rPr>
        <w:t>ibidem</w:t>
      </w:r>
      <w:r w:rsidRPr="00201B2B">
        <w:rPr>
          <w:rStyle w:val="sb8d990e2"/>
          <w:lang w:val="fr-FR"/>
        </w:rPr>
        <w:t>). Aussi, dans certaines circonstances bien définies, l</w:t>
      </w:r>
      <w:r w:rsidR="00014593">
        <w:rPr>
          <w:rStyle w:val="sb8d990e2"/>
          <w:lang w:val="fr-FR"/>
        </w:rPr>
        <w:t>’</w:t>
      </w:r>
      <w:r w:rsidRPr="00201B2B">
        <w:rPr>
          <w:rStyle w:val="sb8d990e2"/>
          <w:lang w:val="fr-FR"/>
        </w:rPr>
        <w:t>article 2 de la Convention peut mettre à la charge des autorités l</w:t>
      </w:r>
      <w:r w:rsidR="00014593">
        <w:rPr>
          <w:rStyle w:val="sb8d990e2"/>
          <w:lang w:val="fr-FR"/>
        </w:rPr>
        <w:t>’</w:t>
      </w:r>
      <w:r w:rsidRPr="00201B2B">
        <w:rPr>
          <w:rStyle w:val="sb8d990e2"/>
          <w:lang w:val="fr-FR"/>
        </w:rPr>
        <w:t>obligation positive de prendre préventivement des mesures d</w:t>
      </w:r>
      <w:r w:rsidR="00014593">
        <w:rPr>
          <w:rStyle w:val="sb8d990e2"/>
          <w:lang w:val="fr-FR"/>
        </w:rPr>
        <w:t>’</w:t>
      </w:r>
      <w:r w:rsidRPr="00201B2B">
        <w:rPr>
          <w:rStyle w:val="sb8d990e2"/>
          <w:lang w:val="fr-FR"/>
        </w:rPr>
        <w:t>ordre pratique pour protéger l</w:t>
      </w:r>
      <w:r w:rsidR="00014593">
        <w:rPr>
          <w:rStyle w:val="sb8d990e2"/>
          <w:lang w:val="fr-FR"/>
        </w:rPr>
        <w:t>’</w:t>
      </w:r>
      <w:r w:rsidRPr="00201B2B">
        <w:rPr>
          <w:rStyle w:val="sb8d990e2"/>
          <w:lang w:val="fr-FR"/>
        </w:rPr>
        <w:t>individu dont la vie est menacée par les agissements criminels d</w:t>
      </w:r>
      <w:r w:rsidR="00014593">
        <w:rPr>
          <w:rStyle w:val="sb8d990e2"/>
          <w:lang w:val="fr-FR"/>
        </w:rPr>
        <w:t>’</w:t>
      </w:r>
      <w:r w:rsidRPr="00201B2B">
        <w:rPr>
          <w:rStyle w:val="sb8d990e2"/>
          <w:lang w:val="fr-FR"/>
        </w:rPr>
        <w:t>autrui (</w:t>
      </w:r>
      <w:r w:rsidRPr="00201B2B">
        <w:rPr>
          <w:rStyle w:val="s6b621b36"/>
          <w:i/>
          <w:lang w:val="fr-FR"/>
        </w:rPr>
        <w:t>Mastromatteo c. Italie</w:t>
      </w:r>
      <w:r w:rsidRPr="00201B2B">
        <w:rPr>
          <w:rStyle w:val="s6b621b36"/>
          <w:lang w:val="fr-FR"/>
        </w:rPr>
        <w:t xml:space="preserve"> </w:t>
      </w:r>
      <w:r w:rsidRPr="00201B2B">
        <w:rPr>
          <w:rStyle w:val="sb8d990e2"/>
          <w:lang w:val="fr-FR"/>
        </w:rPr>
        <w:t>[GC], n</w:t>
      </w:r>
      <w:r w:rsidRPr="00201B2B">
        <w:rPr>
          <w:rStyle w:val="sb8d990e2"/>
          <w:vertAlign w:val="superscript"/>
          <w:lang w:val="fr-FR"/>
        </w:rPr>
        <w:t>o</w:t>
      </w:r>
      <w:r w:rsidRPr="00201B2B">
        <w:rPr>
          <w:rStyle w:val="sb8d990e2"/>
          <w:lang w:val="fr-FR"/>
        </w:rPr>
        <w:t xml:space="preserve"> 37703/97, § 67 </w:t>
      </w:r>
      <w:r w:rsidRPr="00201B2B">
        <w:rPr>
          <w:rStyle w:val="s6b621b36"/>
          <w:i/>
          <w:lang w:val="fr-FR"/>
        </w:rPr>
        <w:t>in fine</w:t>
      </w:r>
      <w:r w:rsidRPr="00201B2B">
        <w:rPr>
          <w:rStyle w:val="sb8d990e2"/>
          <w:lang w:val="fr-FR"/>
        </w:rPr>
        <w:t>, CEDH 2002</w:t>
      </w:r>
      <w:r w:rsidR="00EB22ED">
        <w:rPr>
          <w:rStyle w:val="sb8d990e2"/>
          <w:lang w:val="fr-FR"/>
        </w:rPr>
        <w:t>-</w:t>
      </w:r>
      <w:r w:rsidRPr="00201B2B">
        <w:rPr>
          <w:rStyle w:val="sb8d990e2"/>
          <w:lang w:val="fr-FR"/>
        </w:rPr>
        <w:t xml:space="preserve">VIII, </w:t>
      </w:r>
      <w:r w:rsidRPr="00201B2B">
        <w:rPr>
          <w:rStyle w:val="s6b621b36"/>
          <w:i/>
          <w:lang w:val="fr-FR"/>
        </w:rPr>
        <w:t>Branko Tomašić et autres c. Croatie</w:t>
      </w:r>
      <w:r w:rsidRPr="00201B2B">
        <w:rPr>
          <w:rStyle w:val="sb8d990e2"/>
          <w:lang w:val="fr-FR"/>
        </w:rPr>
        <w:t>, n</w:t>
      </w:r>
      <w:r w:rsidRPr="00201B2B">
        <w:rPr>
          <w:rStyle w:val="sea881cdfhasverticalalignsuper"/>
          <w:vertAlign w:val="superscript"/>
          <w:lang w:val="fr-FR"/>
        </w:rPr>
        <w:t>o</w:t>
      </w:r>
      <w:r w:rsidRPr="00201B2B">
        <w:rPr>
          <w:rStyle w:val="sb8d990e2"/>
          <w:lang w:val="fr-FR"/>
        </w:rPr>
        <w:t xml:space="preserve"> 46598/06, § 50, 15 janvier 2009, et </w:t>
      </w:r>
      <w:r w:rsidRPr="00201B2B">
        <w:rPr>
          <w:rStyle w:val="s6b621b36"/>
          <w:i/>
          <w:lang w:val="fr-FR"/>
        </w:rPr>
        <w:t>Opuz c. Turquie</w:t>
      </w:r>
      <w:r w:rsidRPr="00201B2B">
        <w:rPr>
          <w:rStyle w:val="sb8d990e2"/>
          <w:lang w:val="fr-FR"/>
        </w:rPr>
        <w:t>, n</w:t>
      </w:r>
      <w:r w:rsidRPr="00201B2B">
        <w:rPr>
          <w:rStyle w:val="sb8d990e2"/>
          <w:vertAlign w:val="superscript"/>
          <w:lang w:val="fr-FR"/>
        </w:rPr>
        <w:t>o</w:t>
      </w:r>
      <w:r w:rsidRPr="00201B2B">
        <w:rPr>
          <w:rStyle w:val="sb8d990e2"/>
          <w:lang w:val="fr-FR"/>
        </w:rPr>
        <w:t xml:space="preserve"> 33401/02, § 128, 9 juin 2009).</w:t>
      </w:r>
    </w:p>
    <w:p w:rsidR="00201B2B" w:rsidRPr="00201B2B" w:rsidRDefault="00201B2B" w:rsidP="00201B2B">
      <w:pPr>
        <w:pStyle w:val="ECHRPara"/>
        <w:rPr>
          <w:rStyle w:val="sb8d990e2"/>
          <w:lang w:val="fr-FR"/>
        </w:rPr>
      </w:pPr>
      <w:r w:rsidRPr="00201B2B">
        <w:rPr>
          <w:rStyle w:val="sb8d990e2"/>
          <w:lang w:val="fr-FR"/>
        </w:rPr>
        <w:t>40.  Pour autant, la Cour estime que cela ne signifie pas que l</w:t>
      </w:r>
      <w:r w:rsidR="00014593">
        <w:rPr>
          <w:rStyle w:val="sb8d990e2"/>
          <w:lang w:val="fr-FR"/>
        </w:rPr>
        <w:t>’</w:t>
      </w:r>
      <w:r w:rsidRPr="00201B2B">
        <w:rPr>
          <w:rStyle w:val="sb8d990e2"/>
          <w:lang w:val="fr-FR"/>
        </w:rPr>
        <w:t>on puisse déduire de cette disposition une obligation positive d</w:t>
      </w:r>
      <w:r w:rsidR="00014593">
        <w:rPr>
          <w:rStyle w:val="sb8d990e2"/>
          <w:lang w:val="fr-FR"/>
        </w:rPr>
        <w:t>’</w:t>
      </w:r>
      <w:r w:rsidRPr="00201B2B">
        <w:rPr>
          <w:rStyle w:val="sb8d990e2"/>
          <w:lang w:val="fr-FR"/>
        </w:rPr>
        <w:t>empêcher toute violence potentielle. Il faut en effet interpréter cette obligation de manière à ne pas imposer aux autorités un fardeau insupportable ou excessif, en tenant compte des difficultés pour la police d</w:t>
      </w:r>
      <w:r w:rsidR="00014593">
        <w:rPr>
          <w:rStyle w:val="sb8d990e2"/>
          <w:lang w:val="fr-FR"/>
        </w:rPr>
        <w:t>’</w:t>
      </w:r>
      <w:r w:rsidRPr="00201B2B">
        <w:rPr>
          <w:rStyle w:val="sb8d990e2"/>
          <w:lang w:val="fr-FR"/>
        </w:rPr>
        <w:t>exercer ses fonctions dans les sociétés contemporaines et aussi de l</w:t>
      </w:r>
      <w:r w:rsidR="00014593">
        <w:rPr>
          <w:rStyle w:val="sb8d990e2"/>
          <w:lang w:val="fr-FR"/>
        </w:rPr>
        <w:t>’</w:t>
      </w:r>
      <w:r w:rsidRPr="00201B2B">
        <w:rPr>
          <w:rStyle w:val="sb8d990e2"/>
          <w:lang w:val="fr-FR"/>
        </w:rPr>
        <w:t>imprévisibilité du comportement humain et des choix opérationnels à faire en termes de priorités et de ressources (</w:t>
      </w:r>
      <w:r w:rsidRPr="00201B2B">
        <w:rPr>
          <w:rStyle w:val="s6b621b36"/>
          <w:i/>
          <w:lang w:val="fr-FR"/>
        </w:rPr>
        <w:t>Osman</w:t>
      </w:r>
      <w:r w:rsidRPr="00201B2B">
        <w:rPr>
          <w:rStyle w:val="sb8d990e2"/>
          <w:lang w:val="fr-FR"/>
        </w:rPr>
        <w:t xml:space="preserve">, précité, § 116, et </w:t>
      </w:r>
      <w:r w:rsidRPr="00201B2B">
        <w:rPr>
          <w:rStyle w:val="sb8d990e2"/>
          <w:i/>
          <w:lang w:val="fr-FR"/>
        </w:rPr>
        <w:t>Maiorano et autres c. Italie</w:t>
      </w:r>
      <w:r w:rsidRPr="00201B2B">
        <w:rPr>
          <w:rStyle w:val="sb8d990e2"/>
          <w:lang w:val="fr-FR"/>
        </w:rPr>
        <w:t xml:space="preserve">, </w:t>
      </w:r>
      <w:r w:rsidRPr="00201B2B">
        <w:rPr>
          <w:rStyle w:val="s6b621b36"/>
          <w:lang w:val="fr-FR"/>
        </w:rPr>
        <w:t>n</w:t>
      </w:r>
      <w:r w:rsidRPr="00201B2B">
        <w:rPr>
          <w:rStyle w:val="s6b621b36"/>
          <w:vertAlign w:val="superscript"/>
          <w:lang w:val="fr-FR"/>
        </w:rPr>
        <w:t>o</w:t>
      </w:r>
      <w:r w:rsidRPr="00201B2B">
        <w:rPr>
          <w:rStyle w:val="s6b621b36"/>
          <w:lang w:val="fr-FR"/>
        </w:rPr>
        <w:t> 28634/06, § 105, 15 décembre 2009</w:t>
      </w:r>
      <w:r w:rsidRPr="00201B2B">
        <w:rPr>
          <w:rStyle w:val="sb8d990e2"/>
          <w:lang w:val="fr-FR"/>
        </w:rPr>
        <w:t>).</w:t>
      </w:r>
    </w:p>
    <w:p w:rsidR="00201B2B" w:rsidRPr="00201B2B" w:rsidRDefault="00201B2B" w:rsidP="00201B2B">
      <w:pPr>
        <w:pStyle w:val="ECHRPara"/>
        <w:rPr>
          <w:rStyle w:val="sb8d990e2"/>
          <w:lang w:val="fr-FR"/>
        </w:rPr>
      </w:pPr>
      <w:r w:rsidRPr="00201B2B">
        <w:rPr>
          <w:rStyle w:val="sb8d990e2"/>
          <w:lang w:val="fr-FR"/>
        </w:rPr>
        <w:t>41.  La Cour considère dès lors que toute menace alléguée contre la vie n</w:t>
      </w:r>
      <w:r w:rsidR="00014593">
        <w:rPr>
          <w:rStyle w:val="sb8d990e2"/>
          <w:lang w:val="fr-FR"/>
        </w:rPr>
        <w:t>’</w:t>
      </w:r>
      <w:r w:rsidRPr="00201B2B">
        <w:rPr>
          <w:rStyle w:val="sb8d990e2"/>
          <w:lang w:val="fr-FR"/>
        </w:rPr>
        <w:t>oblige pas les autorités, au regard de la Convention, à prendre des mesures concrètes pour en prévenir la réalisation. Elle a déjà affirmé qu</w:t>
      </w:r>
      <w:r w:rsidR="00014593">
        <w:rPr>
          <w:rStyle w:val="sb8d990e2"/>
          <w:lang w:val="fr-FR"/>
        </w:rPr>
        <w:t>’</w:t>
      </w:r>
      <w:r w:rsidRPr="00201B2B">
        <w:rPr>
          <w:rStyle w:val="sb8d990e2"/>
          <w:lang w:val="fr-FR"/>
        </w:rPr>
        <w:t>une obligation positive existe lorsqu</w:t>
      </w:r>
      <w:r w:rsidR="00014593">
        <w:rPr>
          <w:rStyle w:val="sb8d990e2"/>
          <w:lang w:val="fr-FR"/>
        </w:rPr>
        <w:t>’</w:t>
      </w:r>
      <w:r w:rsidRPr="00201B2B">
        <w:rPr>
          <w:rStyle w:val="sb8d990e2"/>
          <w:lang w:val="fr-FR"/>
        </w:rPr>
        <w:t>il est établi que les autorités connaissaient ou auraient dû connaître l</w:t>
      </w:r>
      <w:r w:rsidR="00014593">
        <w:rPr>
          <w:rStyle w:val="sb8d990e2"/>
          <w:lang w:val="fr-FR"/>
        </w:rPr>
        <w:t>’</w:t>
      </w:r>
      <w:r w:rsidRPr="00201B2B">
        <w:rPr>
          <w:rStyle w:val="sb8d990e2"/>
          <w:lang w:val="fr-FR"/>
        </w:rPr>
        <w:t>existence d</w:t>
      </w:r>
      <w:r w:rsidR="00014593">
        <w:rPr>
          <w:rStyle w:val="sb8d990e2"/>
          <w:lang w:val="fr-FR"/>
        </w:rPr>
        <w:t>’</w:t>
      </w:r>
      <w:r w:rsidRPr="00201B2B">
        <w:rPr>
          <w:rStyle w:val="sb8d990e2"/>
          <w:lang w:val="fr-FR"/>
        </w:rPr>
        <w:t>une menace réelle et immédiate pour la vie d</w:t>
      </w:r>
      <w:r w:rsidR="00014593">
        <w:rPr>
          <w:rStyle w:val="sb8d990e2"/>
          <w:lang w:val="fr-FR"/>
        </w:rPr>
        <w:t>’</w:t>
      </w:r>
      <w:r w:rsidRPr="00201B2B">
        <w:rPr>
          <w:rStyle w:val="sb8d990e2"/>
          <w:lang w:val="fr-FR"/>
        </w:rPr>
        <w:t>un ou de plusieurs individus et qu</w:t>
      </w:r>
      <w:r w:rsidR="00014593">
        <w:rPr>
          <w:rStyle w:val="sb8d990e2"/>
          <w:lang w:val="fr-FR"/>
        </w:rPr>
        <w:t>’</w:t>
      </w:r>
      <w:r w:rsidRPr="00201B2B">
        <w:rPr>
          <w:rStyle w:val="sb8d990e2"/>
          <w:lang w:val="fr-FR"/>
        </w:rPr>
        <w:t>elles n</w:t>
      </w:r>
      <w:r w:rsidR="00014593">
        <w:rPr>
          <w:rStyle w:val="sb8d990e2"/>
          <w:lang w:val="fr-FR"/>
        </w:rPr>
        <w:t>’</w:t>
      </w:r>
      <w:r w:rsidRPr="00201B2B">
        <w:rPr>
          <w:rStyle w:val="sb8d990e2"/>
          <w:lang w:val="fr-FR"/>
        </w:rPr>
        <w:t>ont pas pris, dans le cadre de leurs pouvoirs, les mesures qui, d</w:t>
      </w:r>
      <w:r w:rsidR="00014593">
        <w:rPr>
          <w:rStyle w:val="sb8d990e2"/>
          <w:lang w:val="fr-FR"/>
        </w:rPr>
        <w:t>’</w:t>
      </w:r>
      <w:r w:rsidRPr="00201B2B">
        <w:rPr>
          <w:rStyle w:val="sb8d990e2"/>
          <w:lang w:val="fr-FR"/>
        </w:rPr>
        <w:t>un point de vue raisonnable, auraient sans doute pallié ce risque (</w:t>
      </w:r>
      <w:r w:rsidRPr="00201B2B">
        <w:rPr>
          <w:rStyle w:val="s6b621b36"/>
          <w:i/>
          <w:lang w:val="fr-FR"/>
        </w:rPr>
        <w:t>Bromiley c. Royaume-Uni</w:t>
      </w:r>
      <w:r w:rsidRPr="00201B2B">
        <w:rPr>
          <w:rStyle w:val="s6b621b36"/>
          <w:lang w:val="fr-FR"/>
        </w:rPr>
        <w:t xml:space="preserve"> </w:t>
      </w:r>
      <w:r w:rsidRPr="00201B2B">
        <w:rPr>
          <w:rStyle w:val="sb8d990e2"/>
          <w:lang w:val="fr-FR"/>
        </w:rPr>
        <w:t>(déc.), n</w:t>
      </w:r>
      <w:r w:rsidRPr="00201B2B">
        <w:rPr>
          <w:rStyle w:val="sb8d990e2"/>
          <w:vertAlign w:val="superscript"/>
          <w:lang w:val="fr-FR"/>
        </w:rPr>
        <w:t>o</w:t>
      </w:r>
      <w:r w:rsidRPr="00201B2B">
        <w:rPr>
          <w:rStyle w:val="sea881cdfhasverticalalignsuper"/>
          <w:lang w:val="fr-FR"/>
        </w:rPr>
        <w:t xml:space="preserve"> </w:t>
      </w:r>
      <w:r w:rsidRPr="00201B2B">
        <w:rPr>
          <w:rStyle w:val="sb8d990e2"/>
          <w:lang w:val="fr-FR"/>
        </w:rPr>
        <w:t>33747/96, 23 novembre 1999,</w:t>
      </w:r>
      <w:r w:rsidRPr="00201B2B">
        <w:rPr>
          <w:rStyle w:val="s6b621b36"/>
          <w:lang w:val="fr-FR"/>
        </w:rPr>
        <w:t xml:space="preserve"> </w:t>
      </w:r>
      <w:r w:rsidRPr="00201B2B">
        <w:rPr>
          <w:rStyle w:val="s6b621b36"/>
          <w:i/>
          <w:lang w:val="fr-FR"/>
        </w:rPr>
        <w:t>Paul et Audrey Edwards c. Royaume-Uni</w:t>
      </w:r>
      <w:r w:rsidRPr="00201B2B">
        <w:rPr>
          <w:rStyle w:val="sb8d990e2"/>
          <w:lang w:val="fr-FR"/>
        </w:rPr>
        <w:t>, n</w:t>
      </w:r>
      <w:r w:rsidRPr="00201B2B">
        <w:rPr>
          <w:rStyle w:val="sea881cdfhasverticalalignsuper"/>
          <w:vertAlign w:val="superscript"/>
          <w:lang w:val="fr-FR"/>
        </w:rPr>
        <w:t>o</w:t>
      </w:r>
      <w:r w:rsidRPr="00201B2B">
        <w:rPr>
          <w:rStyle w:val="sea881cdfhasverticalalignsuper"/>
          <w:lang w:val="fr-FR"/>
        </w:rPr>
        <w:t xml:space="preserve"> </w:t>
      </w:r>
      <w:r w:rsidRPr="00201B2B">
        <w:rPr>
          <w:rStyle w:val="sb8d990e2"/>
          <w:lang w:val="fr-FR"/>
        </w:rPr>
        <w:t>46477/99, § 55, CEDH 2002</w:t>
      </w:r>
      <w:r w:rsidRPr="00201B2B">
        <w:rPr>
          <w:rStyle w:val="sb8d990e2"/>
          <w:rFonts w:cstheme="minorHAnsi"/>
          <w:lang w:val="fr-FR"/>
        </w:rPr>
        <w:t>–</w:t>
      </w:r>
      <w:r w:rsidRPr="00201B2B">
        <w:rPr>
          <w:rStyle w:val="sb8d990e2"/>
          <w:lang w:val="fr-FR"/>
        </w:rPr>
        <w:t xml:space="preserve">III, </w:t>
      </w:r>
      <w:r w:rsidRPr="00201B2B">
        <w:rPr>
          <w:rStyle w:val="s6b621b36"/>
          <w:i/>
          <w:lang w:val="fr-FR"/>
        </w:rPr>
        <w:t>Mastromatteo</w:t>
      </w:r>
      <w:r w:rsidRPr="00201B2B">
        <w:rPr>
          <w:rStyle w:val="sb8d990e2"/>
          <w:lang w:val="fr-FR"/>
        </w:rPr>
        <w:t xml:space="preserve">, précité, § 68, et </w:t>
      </w:r>
      <w:r w:rsidRPr="00201B2B">
        <w:rPr>
          <w:rStyle w:val="s6b621b36"/>
          <w:i/>
          <w:lang w:val="fr-FR"/>
        </w:rPr>
        <w:t>Branko Tomašić</w:t>
      </w:r>
      <w:r w:rsidRPr="00201B2B">
        <w:rPr>
          <w:rStyle w:val="sb8d990e2"/>
          <w:lang w:val="fr-FR"/>
        </w:rPr>
        <w:t>, précité, §§ 50-51).</w:t>
      </w:r>
    </w:p>
    <w:p w:rsidR="00201B2B" w:rsidRPr="00201B2B" w:rsidRDefault="00201B2B" w:rsidP="00201B2B">
      <w:pPr>
        <w:pStyle w:val="ECHRPara"/>
        <w:rPr>
          <w:lang w:val="fr-FR"/>
        </w:rPr>
      </w:pPr>
      <w:r w:rsidRPr="00201B2B">
        <w:rPr>
          <w:rStyle w:val="sb8d990e2"/>
          <w:lang w:val="fr-FR"/>
        </w:rPr>
        <w:t>42.  S</w:t>
      </w:r>
      <w:r w:rsidR="00014593">
        <w:rPr>
          <w:rStyle w:val="sb8d990e2"/>
          <w:lang w:val="fr-FR"/>
        </w:rPr>
        <w:t>’</w:t>
      </w:r>
      <w:r w:rsidRPr="00201B2B">
        <w:rPr>
          <w:rStyle w:val="sb8d990e2"/>
          <w:lang w:val="fr-FR"/>
        </w:rPr>
        <w:t>agissant en particulier des personnes privées de liberté, la Cour rappelle que la Convention impose à l</w:t>
      </w:r>
      <w:r w:rsidR="00014593">
        <w:rPr>
          <w:rStyle w:val="sb8d990e2"/>
          <w:lang w:val="fr-FR"/>
        </w:rPr>
        <w:t>’</w:t>
      </w:r>
      <w:r w:rsidRPr="00201B2B">
        <w:rPr>
          <w:rStyle w:val="sb8d990e2"/>
          <w:lang w:val="fr-FR"/>
        </w:rPr>
        <w:t>État l</w:t>
      </w:r>
      <w:r w:rsidR="00014593">
        <w:rPr>
          <w:rStyle w:val="sb8d990e2"/>
          <w:lang w:val="fr-FR"/>
        </w:rPr>
        <w:t>’</w:t>
      </w:r>
      <w:r w:rsidRPr="00201B2B">
        <w:rPr>
          <w:rStyle w:val="sb8d990e2"/>
          <w:lang w:val="fr-FR"/>
        </w:rPr>
        <w:t>obligation positive de veiller, entre autres, à ce que la santé et le bien-être du prisonnier soient assurés de manière adéquate (voir, sous l</w:t>
      </w:r>
      <w:r w:rsidR="00014593">
        <w:rPr>
          <w:rStyle w:val="sb8d990e2"/>
          <w:lang w:val="fr-FR"/>
        </w:rPr>
        <w:t>’</w:t>
      </w:r>
      <w:r w:rsidRPr="00201B2B">
        <w:rPr>
          <w:rStyle w:val="sb8d990e2"/>
          <w:lang w:val="fr-FR"/>
        </w:rPr>
        <w:t>angle de l</w:t>
      </w:r>
      <w:r w:rsidR="00014593">
        <w:rPr>
          <w:rStyle w:val="sb8d990e2"/>
          <w:lang w:val="fr-FR"/>
        </w:rPr>
        <w:t>’</w:t>
      </w:r>
      <w:r w:rsidRPr="00201B2B">
        <w:rPr>
          <w:rStyle w:val="sb8d990e2"/>
          <w:lang w:val="fr-FR"/>
        </w:rPr>
        <w:t xml:space="preserve">article 3 de la Convention, </w:t>
      </w:r>
      <w:r w:rsidRPr="00201B2B">
        <w:rPr>
          <w:rStyle w:val="s6b621b36"/>
          <w:i/>
          <w:lang w:val="fr-FR"/>
        </w:rPr>
        <w:t>Kudła</w:t>
      </w:r>
      <w:r>
        <w:rPr>
          <w:rStyle w:val="s6b621b36"/>
          <w:i/>
          <w:lang w:val="fr-FR"/>
        </w:rPr>
        <w:t> </w:t>
      </w:r>
      <w:r w:rsidRPr="00201B2B">
        <w:rPr>
          <w:rStyle w:val="s6b621b36"/>
          <w:i/>
          <w:lang w:val="fr-FR"/>
        </w:rPr>
        <w:t>c. Pologne</w:t>
      </w:r>
      <w:r w:rsidRPr="00201B2B">
        <w:rPr>
          <w:rStyle w:val="s6b621b36"/>
          <w:lang w:val="fr-FR"/>
        </w:rPr>
        <w:t xml:space="preserve"> </w:t>
      </w:r>
      <w:r w:rsidRPr="00201B2B">
        <w:rPr>
          <w:rStyle w:val="sb8d990e2"/>
          <w:lang w:val="fr-FR"/>
        </w:rPr>
        <w:t>[GC], n</w:t>
      </w:r>
      <w:r w:rsidRPr="00201B2B">
        <w:rPr>
          <w:rStyle w:val="sb8d990e2"/>
          <w:vertAlign w:val="superscript"/>
          <w:lang w:val="fr-FR"/>
        </w:rPr>
        <w:t>o</w:t>
      </w:r>
      <w:r w:rsidRPr="00201B2B">
        <w:rPr>
          <w:rStyle w:val="sb8d990e2"/>
          <w:lang w:val="fr-FR"/>
        </w:rPr>
        <w:t> 30210/96, § 94, CEDH 2000</w:t>
      </w:r>
      <w:r w:rsidRPr="00201B2B">
        <w:rPr>
          <w:rStyle w:val="sb8d990e2"/>
          <w:lang w:val="fr-FR"/>
        </w:rPr>
        <w:noBreakHyphen/>
        <w:t xml:space="preserve">XI, et </w:t>
      </w:r>
      <w:r w:rsidRPr="00201B2B">
        <w:rPr>
          <w:rStyle w:val="s6b621b36"/>
          <w:i/>
          <w:lang w:val="fr-FR"/>
        </w:rPr>
        <w:t>Riviere</w:t>
      </w:r>
      <w:r>
        <w:rPr>
          <w:rStyle w:val="s6b621b36"/>
          <w:i/>
          <w:lang w:val="fr-FR"/>
        </w:rPr>
        <w:t> </w:t>
      </w:r>
      <w:r w:rsidRPr="00201B2B">
        <w:rPr>
          <w:rStyle w:val="s6b621b36"/>
          <w:i/>
          <w:lang w:val="fr-FR"/>
        </w:rPr>
        <w:t>c. France</w:t>
      </w:r>
      <w:r w:rsidRPr="00201B2B">
        <w:rPr>
          <w:rStyle w:val="sb8d990e2"/>
          <w:lang w:val="fr-FR"/>
        </w:rPr>
        <w:t>, n</w:t>
      </w:r>
      <w:r w:rsidRPr="00201B2B">
        <w:rPr>
          <w:rStyle w:val="sb8d990e2"/>
          <w:vertAlign w:val="superscript"/>
          <w:lang w:val="fr-FR"/>
        </w:rPr>
        <w:t>o</w:t>
      </w:r>
      <w:r w:rsidRPr="00201B2B">
        <w:rPr>
          <w:rStyle w:val="sb8d990e2"/>
          <w:lang w:val="fr-FR"/>
        </w:rPr>
        <w:t xml:space="preserve"> 33834/03, § 62, 11 juillet 2006).</w:t>
      </w:r>
    </w:p>
    <w:p w:rsidR="00201B2B" w:rsidRPr="00201B2B" w:rsidRDefault="00201B2B" w:rsidP="00201B2B">
      <w:pPr>
        <w:pStyle w:val="ECHRHeading3"/>
        <w:rPr>
          <w:lang w:val="fr-FR"/>
        </w:rPr>
      </w:pPr>
      <w:r w:rsidRPr="00201B2B">
        <w:rPr>
          <w:lang w:val="fr-FR"/>
        </w:rPr>
        <w:t>2.  Application de ces principes à la présente espèce</w:t>
      </w:r>
    </w:p>
    <w:p w:rsidR="00201B2B" w:rsidRPr="00201B2B" w:rsidRDefault="00201B2B" w:rsidP="00201B2B">
      <w:pPr>
        <w:pStyle w:val="ECHRPara"/>
        <w:rPr>
          <w:rStyle w:val="sb8d990e2"/>
          <w:lang w:val="fr-FR"/>
        </w:rPr>
      </w:pPr>
      <w:r w:rsidRPr="00201B2B">
        <w:rPr>
          <w:lang w:val="fr-FR"/>
        </w:rPr>
        <w:t>43.  </w:t>
      </w:r>
      <w:r w:rsidRPr="00201B2B">
        <w:rPr>
          <w:rStyle w:val="sb8d990e2"/>
          <w:lang w:val="fr-FR"/>
        </w:rPr>
        <w:t>La Cour observe que les requérants n</w:t>
      </w:r>
      <w:r w:rsidR="00014593">
        <w:rPr>
          <w:rStyle w:val="sb8d990e2"/>
          <w:lang w:val="fr-FR"/>
        </w:rPr>
        <w:t>’</w:t>
      </w:r>
      <w:r w:rsidRPr="00201B2B">
        <w:rPr>
          <w:rStyle w:val="sb8d990e2"/>
          <w:lang w:val="fr-FR"/>
        </w:rPr>
        <w:t>ont pas allégué que les autorités disposaient d</w:t>
      </w:r>
      <w:r w:rsidR="00014593">
        <w:rPr>
          <w:rStyle w:val="sb8d990e2"/>
          <w:lang w:val="fr-FR"/>
        </w:rPr>
        <w:t>’</w:t>
      </w:r>
      <w:r w:rsidRPr="00201B2B">
        <w:rPr>
          <w:rStyle w:val="sb8d990e2"/>
          <w:lang w:val="fr-FR"/>
        </w:rPr>
        <w:t>éléments pouvant les amener à croire que leur proche se trouvait dans une situation de danger particulière et que, en faisant usage de drogue, il encourait, par rapport à tout autre détenu toxicomane, un risque potentiellement plus élevé d</w:t>
      </w:r>
      <w:r w:rsidR="00014593">
        <w:rPr>
          <w:rStyle w:val="sb8d990e2"/>
          <w:lang w:val="fr-FR"/>
        </w:rPr>
        <w:t>’</w:t>
      </w:r>
      <w:r w:rsidRPr="00201B2B">
        <w:rPr>
          <w:rStyle w:val="sb8d990e2"/>
          <w:lang w:val="fr-FR"/>
        </w:rPr>
        <w:t>en subir des conséquences mortelles. Elle estime donc que, en l</w:t>
      </w:r>
      <w:r w:rsidR="00014593">
        <w:rPr>
          <w:rStyle w:val="sb8d990e2"/>
          <w:lang w:val="fr-FR"/>
        </w:rPr>
        <w:t>’</w:t>
      </w:r>
      <w:r w:rsidRPr="00201B2B">
        <w:rPr>
          <w:rStyle w:val="sb8d990e2"/>
          <w:lang w:val="fr-FR"/>
        </w:rPr>
        <w:t>occurrence, n</w:t>
      </w:r>
      <w:r w:rsidR="00014593">
        <w:rPr>
          <w:rStyle w:val="sb8d990e2"/>
          <w:lang w:val="fr-FR"/>
        </w:rPr>
        <w:t>’</w:t>
      </w:r>
      <w:r w:rsidRPr="00201B2B">
        <w:rPr>
          <w:rStyle w:val="sb8d990e2"/>
          <w:lang w:val="fr-FR"/>
        </w:rPr>
        <w:t>était pas en jeu l</w:t>
      </w:r>
      <w:r w:rsidR="00014593">
        <w:rPr>
          <w:rStyle w:val="sb8d990e2"/>
          <w:lang w:val="fr-FR"/>
        </w:rPr>
        <w:t>’</w:t>
      </w:r>
      <w:r w:rsidRPr="00201B2B">
        <w:rPr>
          <w:rStyle w:val="sb8d990e2"/>
          <w:lang w:val="fr-FR"/>
        </w:rPr>
        <w:t>exigence d</w:t>
      </w:r>
      <w:r w:rsidR="00014593">
        <w:rPr>
          <w:rStyle w:val="sb8d990e2"/>
          <w:lang w:val="fr-FR"/>
        </w:rPr>
        <w:t>’</w:t>
      </w:r>
      <w:r w:rsidRPr="00201B2B">
        <w:rPr>
          <w:rStyle w:val="sb8d990e2"/>
          <w:lang w:val="fr-FR"/>
        </w:rPr>
        <w:t>une protection rapprochée d</w:t>
      </w:r>
      <w:r w:rsidR="00014593">
        <w:rPr>
          <w:rStyle w:val="sb8d990e2"/>
          <w:lang w:val="fr-FR"/>
        </w:rPr>
        <w:t>’</w:t>
      </w:r>
      <w:r w:rsidRPr="00201B2B">
        <w:rPr>
          <w:rStyle w:val="sb8d990e2"/>
          <w:lang w:val="fr-FR"/>
        </w:rPr>
        <w:t>un ou de plusieurs individus identifiables à l</w:t>
      </w:r>
      <w:r w:rsidR="00014593">
        <w:rPr>
          <w:rStyle w:val="sb8d990e2"/>
          <w:lang w:val="fr-FR"/>
        </w:rPr>
        <w:t>’</w:t>
      </w:r>
      <w:r w:rsidRPr="00201B2B">
        <w:rPr>
          <w:rStyle w:val="sb8d990e2"/>
          <w:lang w:val="fr-FR"/>
        </w:rPr>
        <w:t>avance comme cibles potentielles d</w:t>
      </w:r>
      <w:r w:rsidR="00014593">
        <w:rPr>
          <w:rStyle w:val="sb8d990e2"/>
          <w:lang w:val="fr-FR"/>
        </w:rPr>
        <w:t>’</w:t>
      </w:r>
      <w:r w:rsidRPr="00201B2B">
        <w:rPr>
          <w:rStyle w:val="sb8d990e2"/>
          <w:lang w:val="fr-FR"/>
        </w:rPr>
        <w:t xml:space="preserve">une atteinte à la vie (voir, </w:t>
      </w:r>
      <w:r w:rsidRPr="00201B2B">
        <w:rPr>
          <w:rStyle w:val="sb8d990e2"/>
          <w:i/>
          <w:lang w:val="fr-FR"/>
        </w:rPr>
        <w:t xml:space="preserve">mutatis mutandis </w:t>
      </w:r>
      <w:r w:rsidRPr="00201B2B">
        <w:rPr>
          <w:rStyle w:val="sb8d990e2"/>
          <w:lang w:val="fr-FR"/>
        </w:rPr>
        <w:t xml:space="preserve">et </w:t>
      </w:r>
      <w:r w:rsidRPr="00201B2B">
        <w:rPr>
          <w:rStyle w:val="sb8d990e2"/>
          <w:i/>
          <w:lang w:val="fr-FR"/>
        </w:rPr>
        <w:t>a contrario</w:t>
      </w:r>
      <w:r w:rsidRPr="00201B2B">
        <w:rPr>
          <w:rStyle w:val="sb8d990e2"/>
          <w:lang w:val="fr-FR"/>
        </w:rPr>
        <w:t>,</w:t>
      </w:r>
      <w:r w:rsidRPr="00201B2B">
        <w:rPr>
          <w:rStyle w:val="sb8d990e2"/>
          <w:i/>
          <w:lang w:val="fr-FR"/>
        </w:rPr>
        <w:t xml:space="preserve"> </w:t>
      </w:r>
      <w:r w:rsidRPr="00201B2B">
        <w:rPr>
          <w:rStyle w:val="s6b621b36"/>
          <w:i/>
          <w:lang w:val="fr-FR"/>
        </w:rPr>
        <w:t>Osman</w:t>
      </w:r>
      <w:r w:rsidRPr="00201B2B">
        <w:rPr>
          <w:rStyle w:val="sb8d990e2"/>
          <w:lang w:val="fr-FR"/>
        </w:rPr>
        <w:t xml:space="preserve">, </w:t>
      </w:r>
      <w:r w:rsidRPr="00201B2B">
        <w:rPr>
          <w:rStyle w:val="s6b621b36"/>
          <w:i/>
          <w:lang w:val="fr-FR"/>
        </w:rPr>
        <w:t>Paul et Audrey Edwards</w:t>
      </w:r>
      <w:r w:rsidRPr="00201B2B">
        <w:rPr>
          <w:rStyle w:val="s6b621b36"/>
          <w:lang w:val="fr-FR"/>
        </w:rPr>
        <w:t xml:space="preserve">, </w:t>
      </w:r>
      <w:r w:rsidRPr="00201B2B">
        <w:rPr>
          <w:rStyle w:val="s6b621b36"/>
          <w:i/>
          <w:lang w:val="fr-FR"/>
        </w:rPr>
        <w:t>Branko Tomašić</w:t>
      </w:r>
      <w:r w:rsidRPr="00201B2B">
        <w:rPr>
          <w:rStyle w:val="sb8d990e2"/>
          <w:lang w:val="fr-FR"/>
        </w:rPr>
        <w:t xml:space="preserve"> et </w:t>
      </w:r>
      <w:r w:rsidRPr="00201B2B">
        <w:rPr>
          <w:rStyle w:val="s6b621b36"/>
          <w:i/>
          <w:lang w:val="fr-FR"/>
        </w:rPr>
        <w:t>Opuz</w:t>
      </w:r>
      <w:r w:rsidRPr="00201B2B">
        <w:rPr>
          <w:rStyle w:val="s6b621b36"/>
          <w:lang w:val="fr-FR"/>
        </w:rPr>
        <w:t xml:space="preserve">, </w:t>
      </w:r>
      <w:r w:rsidRPr="00201B2B">
        <w:rPr>
          <w:rStyle w:val="sb8d990e2"/>
          <w:lang w:val="fr-FR"/>
        </w:rPr>
        <w:t>précités), mais plutôt l</w:t>
      </w:r>
      <w:r w:rsidR="00014593">
        <w:rPr>
          <w:rStyle w:val="sb8d990e2"/>
          <w:lang w:val="fr-FR"/>
        </w:rPr>
        <w:t>’</w:t>
      </w:r>
      <w:r w:rsidRPr="00201B2B">
        <w:rPr>
          <w:rStyle w:val="sb8d990e2"/>
          <w:lang w:val="fr-FR"/>
        </w:rPr>
        <w:t>obligation d</w:t>
      </w:r>
      <w:r w:rsidR="00014593">
        <w:rPr>
          <w:rStyle w:val="sb8d990e2"/>
          <w:lang w:val="fr-FR"/>
        </w:rPr>
        <w:t>’</w:t>
      </w:r>
      <w:r w:rsidRPr="00201B2B">
        <w:rPr>
          <w:rStyle w:val="sb8d990e2"/>
          <w:lang w:val="fr-FR"/>
        </w:rPr>
        <w:t>assurer une protection générale d</w:t>
      </w:r>
      <w:r w:rsidR="00014593">
        <w:rPr>
          <w:rStyle w:val="sb8d990e2"/>
          <w:lang w:val="fr-FR"/>
        </w:rPr>
        <w:t>’</w:t>
      </w:r>
      <w:r w:rsidRPr="00201B2B">
        <w:rPr>
          <w:rStyle w:val="sb8d990e2"/>
          <w:lang w:val="fr-FR"/>
        </w:rPr>
        <w:t xml:space="preserve">un groupe vulnérable de personnes, à savoir les détenus toxicomanes (voir, </w:t>
      </w:r>
      <w:r w:rsidRPr="00201B2B">
        <w:rPr>
          <w:rStyle w:val="sb8d990e2"/>
          <w:i/>
          <w:lang w:val="fr-FR"/>
        </w:rPr>
        <w:t>mutatis mutandis</w:t>
      </w:r>
      <w:r w:rsidRPr="00201B2B">
        <w:rPr>
          <w:rStyle w:val="sb8d990e2"/>
          <w:lang w:val="fr-FR"/>
        </w:rPr>
        <w:t xml:space="preserve">, </w:t>
      </w:r>
      <w:r w:rsidRPr="00201B2B">
        <w:rPr>
          <w:rStyle w:val="sb8d990e2"/>
          <w:i/>
          <w:lang w:val="fr-FR"/>
        </w:rPr>
        <w:t>Mastromatteo</w:t>
      </w:r>
      <w:r w:rsidRPr="00201B2B">
        <w:rPr>
          <w:rStyle w:val="sb8d990e2"/>
          <w:lang w:val="fr-FR"/>
        </w:rPr>
        <w:t xml:space="preserve">, précité, et </w:t>
      </w:r>
      <w:r w:rsidRPr="00201B2B">
        <w:rPr>
          <w:rStyle w:val="sb8d990e2"/>
          <w:i/>
          <w:lang w:val="fr-FR"/>
        </w:rPr>
        <w:t>Maiorano</w:t>
      </w:r>
      <w:r w:rsidRPr="00201B2B">
        <w:rPr>
          <w:rStyle w:val="sb8d990e2"/>
          <w:lang w:val="fr-FR"/>
        </w:rPr>
        <w:t>, précité).</w:t>
      </w:r>
    </w:p>
    <w:p w:rsidR="00201B2B" w:rsidRPr="00201B2B" w:rsidRDefault="00201B2B" w:rsidP="00201B2B">
      <w:pPr>
        <w:pStyle w:val="ECHRPara"/>
        <w:rPr>
          <w:rStyle w:val="sb8d990e2"/>
          <w:lang w:val="fr-FR"/>
        </w:rPr>
      </w:pPr>
      <w:r w:rsidRPr="00201B2B">
        <w:rPr>
          <w:rStyle w:val="sb8d990e2"/>
          <w:lang w:val="fr-FR"/>
        </w:rPr>
        <w:t>44.  La Cour relève que ceci est d</w:t>
      </w:r>
      <w:r w:rsidR="00014593">
        <w:rPr>
          <w:rStyle w:val="sb8d990e2"/>
          <w:lang w:val="fr-FR"/>
        </w:rPr>
        <w:t>’</w:t>
      </w:r>
      <w:r w:rsidRPr="00201B2B">
        <w:rPr>
          <w:rStyle w:val="sb8d990e2"/>
          <w:lang w:val="fr-FR"/>
        </w:rPr>
        <w:t>autant plus vrai en l</w:t>
      </w:r>
      <w:r w:rsidR="00014593">
        <w:rPr>
          <w:rStyle w:val="sb8d990e2"/>
          <w:lang w:val="fr-FR"/>
        </w:rPr>
        <w:t>’</w:t>
      </w:r>
      <w:r w:rsidRPr="00201B2B">
        <w:rPr>
          <w:rStyle w:val="sb8d990e2"/>
          <w:lang w:val="fr-FR"/>
        </w:rPr>
        <w:t>espèce, étant donné que le proche des requérants avait lui-même affirmé le 5 septembre 1995 ne pas avoir fait usage de stupéfiants depuis longtemps et qu</w:t>
      </w:r>
      <w:r w:rsidR="00014593">
        <w:rPr>
          <w:rStyle w:val="sb8d990e2"/>
          <w:lang w:val="fr-FR"/>
        </w:rPr>
        <w:t>’</w:t>
      </w:r>
      <w:r w:rsidRPr="00201B2B">
        <w:rPr>
          <w:rStyle w:val="sb8d990e2"/>
          <w:lang w:val="fr-FR"/>
        </w:rPr>
        <w:t>il n</w:t>
      </w:r>
      <w:r w:rsidR="00014593">
        <w:rPr>
          <w:rStyle w:val="sb8d990e2"/>
          <w:lang w:val="fr-FR"/>
        </w:rPr>
        <w:t>’</w:t>
      </w:r>
      <w:r w:rsidRPr="00201B2B">
        <w:rPr>
          <w:rStyle w:val="sb8d990e2"/>
          <w:lang w:val="fr-FR"/>
        </w:rPr>
        <w:t>avait donné aucun signe amenant à penser qu</w:t>
      </w:r>
      <w:r w:rsidR="00014593">
        <w:rPr>
          <w:rStyle w:val="sb8d990e2"/>
          <w:lang w:val="fr-FR"/>
        </w:rPr>
        <w:t>’</w:t>
      </w:r>
      <w:r w:rsidRPr="00201B2B">
        <w:rPr>
          <w:rStyle w:val="sb8d990e2"/>
          <w:lang w:val="fr-FR"/>
        </w:rPr>
        <w:t xml:space="preserve">il souffrait de troubles mentaux ou se trouvait dans une situation de vulnérabilité particulière (paragraphes </w:t>
      </w:r>
      <w:r w:rsidRPr="00201B2B">
        <w:rPr>
          <w:lang w:val="fr-FR"/>
        </w:rPr>
        <w:t>6</w:t>
      </w:r>
      <w:r w:rsidRPr="00201B2B">
        <w:rPr>
          <w:rStyle w:val="sb8d990e2"/>
          <w:lang w:val="fr-FR"/>
        </w:rPr>
        <w:t xml:space="preserve"> et </w:t>
      </w:r>
      <w:r w:rsidRPr="00201B2B">
        <w:rPr>
          <w:lang w:val="fr-FR"/>
        </w:rPr>
        <w:t>30</w:t>
      </w:r>
      <w:r w:rsidRPr="00201B2B">
        <w:rPr>
          <w:rStyle w:val="sb8d990e2"/>
          <w:lang w:val="fr-FR"/>
        </w:rPr>
        <w:t xml:space="preserve"> ci-dessus).</w:t>
      </w:r>
    </w:p>
    <w:p w:rsidR="00201B2B" w:rsidRPr="00201B2B" w:rsidRDefault="00201B2B" w:rsidP="00201B2B">
      <w:pPr>
        <w:pStyle w:val="ECHRPara"/>
        <w:rPr>
          <w:lang w:val="fr-FR"/>
        </w:rPr>
      </w:pPr>
      <w:r w:rsidRPr="00201B2B">
        <w:rPr>
          <w:lang w:val="fr-FR"/>
        </w:rPr>
        <w:t>45.  Dans ces conditions, la Cour ne saurait considérer que le seul fait objectif qu</w:t>
      </w:r>
      <w:r w:rsidR="00014593">
        <w:rPr>
          <w:lang w:val="fr-FR"/>
        </w:rPr>
        <w:t>’</w:t>
      </w:r>
      <w:r w:rsidRPr="00201B2B">
        <w:rPr>
          <w:lang w:val="fr-FR"/>
        </w:rPr>
        <w:t>un prisonnier ait pu avoir accès à des stupéfiants est constitutif d</w:t>
      </w:r>
      <w:r w:rsidR="00014593">
        <w:rPr>
          <w:lang w:val="fr-FR"/>
        </w:rPr>
        <w:t>’</w:t>
      </w:r>
      <w:r w:rsidRPr="00201B2B">
        <w:rPr>
          <w:lang w:val="fr-FR"/>
        </w:rPr>
        <w:t>un manquement de l</w:t>
      </w:r>
      <w:r w:rsidR="00014593">
        <w:rPr>
          <w:lang w:val="fr-FR"/>
        </w:rPr>
        <w:t>’</w:t>
      </w:r>
      <w:r w:rsidRPr="00201B2B">
        <w:rPr>
          <w:rFonts w:cstheme="minorHAnsi"/>
          <w:lang w:val="fr-FR"/>
        </w:rPr>
        <w:t>É</w:t>
      </w:r>
      <w:r w:rsidRPr="00201B2B">
        <w:rPr>
          <w:lang w:val="fr-FR"/>
        </w:rPr>
        <w:t>tat à ses obligations positives découlant de l</w:t>
      </w:r>
      <w:r w:rsidR="00014593">
        <w:rPr>
          <w:lang w:val="fr-FR"/>
        </w:rPr>
        <w:t>’</w:t>
      </w:r>
      <w:r w:rsidRPr="00201B2B">
        <w:rPr>
          <w:lang w:val="fr-FR"/>
        </w:rPr>
        <w:t>article 2 de la Convention. Elle reconnaît que les autorités, afin de protéger la santé et la vie des citoyens, sont certes tenues d</w:t>
      </w:r>
      <w:r w:rsidR="00014593">
        <w:rPr>
          <w:lang w:val="fr-FR"/>
        </w:rPr>
        <w:t>’</w:t>
      </w:r>
      <w:r w:rsidRPr="00201B2B">
        <w:rPr>
          <w:lang w:val="fr-FR"/>
        </w:rPr>
        <w:t>adopter des mesures pour contrer le trafic de drogue, et ce à plus forte raison lorsque ce fléau a lieu ou pourrait avoir lieu dans un endroit sécurisé, tel qu</w:t>
      </w:r>
      <w:r w:rsidR="00014593">
        <w:rPr>
          <w:lang w:val="fr-FR"/>
        </w:rPr>
        <w:t>’</w:t>
      </w:r>
      <w:r w:rsidRPr="00201B2B">
        <w:rPr>
          <w:lang w:val="fr-FR"/>
        </w:rPr>
        <w:t>une prison ; il n</w:t>
      </w:r>
      <w:r w:rsidR="00014593">
        <w:rPr>
          <w:lang w:val="fr-FR"/>
        </w:rPr>
        <w:t>’</w:t>
      </w:r>
      <w:r w:rsidRPr="00201B2B">
        <w:rPr>
          <w:lang w:val="fr-FR"/>
        </w:rPr>
        <w:t>en demeure pas moins qu</w:t>
      </w:r>
      <w:r w:rsidR="00014593">
        <w:rPr>
          <w:lang w:val="fr-FR"/>
        </w:rPr>
        <w:t>’</w:t>
      </w:r>
      <w:r w:rsidRPr="00201B2B">
        <w:rPr>
          <w:lang w:val="fr-FR"/>
        </w:rPr>
        <w:t>elles ne sauraient pour autant garantir de manière absolue un arrêt total du trafic de drogue et qu</w:t>
      </w:r>
      <w:r w:rsidR="00014593">
        <w:rPr>
          <w:lang w:val="fr-FR"/>
        </w:rPr>
        <w:t>’</w:t>
      </w:r>
      <w:r w:rsidRPr="00201B2B">
        <w:rPr>
          <w:lang w:val="fr-FR"/>
        </w:rPr>
        <w:t>elles jouissent d</w:t>
      </w:r>
      <w:r w:rsidR="00014593">
        <w:rPr>
          <w:lang w:val="fr-FR"/>
        </w:rPr>
        <w:t>’</w:t>
      </w:r>
      <w:r w:rsidRPr="00201B2B">
        <w:rPr>
          <w:lang w:val="fr-FR"/>
        </w:rPr>
        <w:t>un large pouvoir d</w:t>
      </w:r>
      <w:r w:rsidR="00014593">
        <w:rPr>
          <w:lang w:val="fr-FR"/>
        </w:rPr>
        <w:t>’</w:t>
      </w:r>
      <w:r w:rsidRPr="00201B2B">
        <w:rPr>
          <w:lang w:val="fr-FR"/>
        </w:rPr>
        <w:t>appréciation dans le choix de la méthode à utiliser en la matière. À cet égard, la Cour rappelle qu</w:t>
      </w:r>
      <w:r w:rsidR="00014593">
        <w:rPr>
          <w:lang w:val="fr-FR"/>
        </w:rPr>
        <w:t>’</w:t>
      </w:r>
      <w:r w:rsidRPr="00201B2B">
        <w:rPr>
          <w:lang w:val="fr-FR"/>
        </w:rPr>
        <w:t xml:space="preserve">elles sont liées par une obligation de moyens et non de résultat (voir, </w:t>
      </w:r>
      <w:r w:rsidRPr="00201B2B">
        <w:rPr>
          <w:i/>
          <w:lang w:val="fr-FR"/>
        </w:rPr>
        <w:t>mutatis mutandis</w:t>
      </w:r>
      <w:r w:rsidRPr="00201B2B">
        <w:rPr>
          <w:lang w:val="fr-FR"/>
        </w:rPr>
        <w:t xml:space="preserve">, </w:t>
      </w:r>
      <w:r w:rsidRPr="00201B2B">
        <w:rPr>
          <w:i/>
          <w:lang w:val="fr-FR"/>
        </w:rPr>
        <w:t>Giuliani et Gaggio</w:t>
      </w:r>
      <w:r>
        <w:rPr>
          <w:i/>
          <w:lang w:val="fr-FR"/>
        </w:rPr>
        <w:t> </w:t>
      </w:r>
      <w:r w:rsidRPr="00201B2B">
        <w:rPr>
          <w:i/>
          <w:lang w:val="fr-FR"/>
        </w:rPr>
        <w:t>c.</w:t>
      </w:r>
      <w:r>
        <w:rPr>
          <w:i/>
          <w:lang w:val="fr-FR"/>
        </w:rPr>
        <w:t> </w:t>
      </w:r>
      <w:r w:rsidRPr="00201B2B">
        <w:rPr>
          <w:i/>
          <w:lang w:val="fr-FR"/>
        </w:rPr>
        <w:t xml:space="preserve">Italie </w:t>
      </w:r>
      <w:r w:rsidRPr="00201B2B">
        <w:rPr>
          <w:lang w:val="fr-FR"/>
        </w:rPr>
        <w:t>[GC], n</w:t>
      </w:r>
      <w:r w:rsidRPr="00201B2B">
        <w:rPr>
          <w:vertAlign w:val="superscript"/>
          <w:lang w:val="fr-FR"/>
        </w:rPr>
        <w:t>o</w:t>
      </w:r>
      <w:r w:rsidRPr="00201B2B">
        <w:rPr>
          <w:lang w:val="fr-FR"/>
        </w:rPr>
        <w:t> </w:t>
      </w:r>
      <w:r w:rsidRPr="00201B2B">
        <w:rPr>
          <w:rStyle w:val="s6b621b36"/>
          <w:lang w:val="fr-FR"/>
        </w:rPr>
        <w:t>23458/02</w:t>
      </w:r>
      <w:r w:rsidRPr="00201B2B">
        <w:rPr>
          <w:lang w:val="fr-FR"/>
        </w:rPr>
        <w:t>, § 251, CEDH 2011).</w:t>
      </w:r>
    </w:p>
    <w:p w:rsidR="00201B2B" w:rsidRPr="00201B2B" w:rsidRDefault="00201B2B" w:rsidP="00201B2B">
      <w:pPr>
        <w:pStyle w:val="ECHRPara"/>
        <w:rPr>
          <w:lang w:val="fr-FR"/>
        </w:rPr>
      </w:pPr>
      <w:r w:rsidRPr="00201B2B">
        <w:rPr>
          <w:lang w:val="fr-FR"/>
        </w:rPr>
        <w:t>46.  En l</w:t>
      </w:r>
      <w:r w:rsidR="00014593">
        <w:rPr>
          <w:lang w:val="fr-FR"/>
        </w:rPr>
        <w:t>’</w:t>
      </w:r>
      <w:r w:rsidRPr="00201B2B">
        <w:rPr>
          <w:lang w:val="fr-FR"/>
        </w:rPr>
        <w:t>espèce, la Cour note que les requérants n</w:t>
      </w:r>
      <w:r w:rsidR="00014593">
        <w:rPr>
          <w:lang w:val="fr-FR"/>
        </w:rPr>
        <w:t>’</w:t>
      </w:r>
      <w:r w:rsidRPr="00201B2B">
        <w:rPr>
          <w:lang w:val="fr-FR"/>
        </w:rPr>
        <w:t xml:space="preserve">ont pas contesté les affirmations du Gouvernement (paragraphe </w:t>
      </w:r>
      <w:r>
        <w:rPr>
          <w:lang w:val="fr-FR"/>
        </w:rPr>
        <w:t>31</w:t>
      </w:r>
      <w:r w:rsidRPr="00201B2B">
        <w:rPr>
          <w:lang w:val="fr-FR"/>
        </w:rPr>
        <w:t xml:space="preserve"> ci-dessus) selon lesquelles, à l</w:t>
      </w:r>
      <w:r w:rsidR="00014593">
        <w:rPr>
          <w:lang w:val="fr-FR"/>
        </w:rPr>
        <w:t>’</w:t>
      </w:r>
      <w:r w:rsidRPr="00201B2B">
        <w:rPr>
          <w:lang w:val="fr-FR"/>
        </w:rPr>
        <w:t>époque des faits, la prison de Voghera prohibait l</w:t>
      </w:r>
      <w:r w:rsidR="00014593">
        <w:rPr>
          <w:lang w:val="fr-FR"/>
        </w:rPr>
        <w:t>’</w:t>
      </w:r>
      <w:r w:rsidRPr="00201B2B">
        <w:rPr>
          <w:lang w:val="fr-FR"/>
        </w:rPr>
        <w:t xml:space="preserve">introduction non seulement des stupéfiants mais aussi de divers produits </w:t>
      </w:r>
      <w:r w:rsidRPr="00201B2B">
        <w:rPr>
          <w:rFonts w:cstheme="minorHAnsi"/>
          <w:lang w:val="fr-FR"/>
        </w:rPr>
        <w:t xml:space="preserve">– </w:t>
      </w:r>
      <w:r w:rsidRPr="00201B2B">
        <w:rPr>
          <w:lang w:val="fr-FR"/>
        </w:rPr>
        <w:t xml:space="preserve">à savoir les produits en poudre ou en grains, le savon et les seringues </w:t>
      </w:r>
      <w:r w:rsidRPr="00201B2B">
        <w:rPr>
          <w:rFonts w:cstheme="minorHAnsi"/>
          <w:lang w:val="fr-FR"/>
        </w:rPr>
        <w:t>–</w:t>
      </w:r>
      <w:r w:rsidRPr="00201B2B">
        <w:rPr>
          <w:lang w:val="fr-FR"/>
        </w:rPr>
        <w:t>, toute personne faisait l</w:t>
      </w:r>
      <w:r w:rsidR="00014593">
        <w:rPr>
          <w:lang w:val="fr-FR"/>
        </w:rPr>
        <w:t>’</w:t>
      </w:r>
      <w:r w:rsidRPr="00201B2B">
        <w:rPr>
          <w:lang w:val="fr-FR"/>
        </w:rPr>
        <w:t>objet d</w:t>
      </w:r>
      <w:r w:rsidR="00014593">
        <w:rPr>
          <w:lang w:val="fr-FR"/>
        </w:rPr>
        <w:t>’</w:t>
      </w:r>
      <w:r w:rsidRPr="00201B2B">
        <w:rPr>
          <w:lang w:val="fr-FR"/>
        </w:rPr>
        <w:t>une fouille et tout colis d</w:t>
      </w:r>
      <w:r w:rsidR="00014593">
        <w:rPr>
          <w:lang w:val="fr-FR"/>
        </w:rPr>
        <w:t>’</w:t>
      </w:r>
      <w:r w:rsidRPr="00201B2B">
        <w:rPr>
          <w:lang w:val="fr-FR"/>
        </w:rPr>
        <w:t>une inspection, et les visiteurs, agents pénitentiaires et prisonniers devaient passer sous un détecteur électromagnétique. Elle est d</w:t>
      </w:r>
      <w:r w:rsidR="00014593">
        <w:rPr>
          <w:lang w:val="fr-FR"/>
        </w:rPr>
        <w:t>’</w:t>
      </w:r>
      <w:r w:rsidRPr="00201B2B">
        <w:rPr>
          <w:lang w:val="fr-FR"/>
        </w:rPr>
        <w:t>avis que, par l</w:t>
      </w:r>
      <w:r w:rsidR="00014593">
        <w:rPr>
          <w:lang w:val="fr-FR"/>
        </w:rPr>
        <w:t>’</w:t>
      </w:r>
      <w:r w:rsidRPr="00201B2B">
        <w:rPr>
          <w:lang w:val="fr-FR"/>
        </w:rPr>
        <w:t>adoption de ces mesures, l</w:t>
      </w:r>
      <w:r w:rsidR="00014593">
        <w:rPr>
          <w:lang w:val="fr-FR"/>
        </w:rPr>
        <w:t>’</w:t>
      </w:r>
      <w:r w:rsidRPr="00201B2B">
        <w:rPr>
          <w:rFonts w:cstheme="minorHAnsi"/>
          <w:lang w:val="fr-FR"/>
        </w:rPr>
        <w:t>É</w:t>
      </w:r>
      <w:r w:rsidRPr="00201B2B">
        <w:rPr>
          <w:lang w:val="fr-FR"/>
        </w:rPr>
        <w:t>tat a satisfait à son obligation d</w:t>
      </w:r>
      <w:r w:rsidR="00014593">
        <w:rPr>
          <w:lang w:val="fr-FR"/>
        </w:rPr>
        <w:t>’</w:t>
      </w:r>
      <w:r w:rsidRPr="00201B2B">
        <w:rPr>
          <w:lang w:val="fr-FR"/>
        </w:rPr>
        <w:t>agir pour contrer le trafic de drogue en milieu carcéral. En revanche, compte tenu de la marge d</w:t>
      </w:r>
      <w:r w:rsidR="00014593">
        <w:rPr>
          <w:lang w:val="fr-FR"/>
        </w:rPr>
        <w:t>’</w:t>
      </w:r>
      <w:r w:rsidRPr="00201B2B">
        <w:rPr>
          <w:lang w:val="fr-FR"/>
        </w:rPr>
        <w:t>appréciation dont jouissent les autorités, elle estime qu</w:t>
      </w:r>
      <w:r w:rsidR="00014593">
        <w:rPr>
          <w:lang w:val="fr-FR"/>
        </w:rPr>
        <w:t>’</w:t>
      </w:r>
      <w:r w:rsidRPr="00201B2B">
        <w:rPr>
          <w:lang w:val="fr-FR"/>
        </w:rPr>
        <w:t>on ne saurait faire découler de l</w:t>
      </w:r>
      <w:r w:rsidR="00014593">
        <w:rPr>
          <w:lang w:val="fr-FR"/>
        </w:rPr>
        <w:t>’</w:t>
      </w:r>
      <w:r w:rsidRPr="00201B2B">
        <w:rPr>
          <w:lang w:val="fr-FR"/>
        </w:rPr>
        <w:t>article 2 de la Convention une obligation générale, pour l</w:t>
      </w:r>
      <w:r w:rsidR="00014593">
        <w:rPr>
          <w:lang w:val="fr-FR"/>
        </w:rPr>
        <w:t>’</w:t>
      </w:r>
      <w:r w:rsidRPr="00201B2B">
        <w:rPr>
          <w:lang w:val="fr-FR"/>
        </w:rPr>
        <w:t>État, de recourir à des chiens détecteurs de drogue en tout endroit – tel qu</w:t>
      </w:r>
      <w:r w:rsidR="00014593">
        <w:rPr>
          <w:lang w:val="fr-FR"/>
        </w:rPr>
        <w:t>’</w:t>
      </w:r>
      <w:r w:rsidRPr="00201B2B">
        <w:rPr>
          <w:lang w:val="fr-FR"/>
        </w:rPr>
        <w:t>un pénitencier – susceptible d</w:t>
      </w:r>
      <w:r w:rsidR="00014593">
        <w:rPr>
          <w:lang w:val="fr-FR"/>
        </w:rPr>
        <w:t>’</w:t>
      </w:r>
      <w:r w:rsidRPr="00201B2B">
        <w:rPr>
          <w:lang w:val="fr-FR"/>
        </w:rPr>
        <w:t>être un lieu de transit de stupéfiants.</w:t>
      </w:r>
    </w:p>
    <w:p w:rsidR="00201B2B" w:rsidRPr="00201B2B" w:rsidRDefault="00201B2B" w:rsidP="00201B2B">
      <w:pPr>
        <w:pStyle w:val="ECHRPara"/>
        <w:rPr>
          <w:lang w:val="fr-FR"/>
        </w:rPr>
      </w:pPr>
      <w:r w:rsidRPr="00201B2B">
        <w:rPr>
          <w:lang w:val="fr-FR"/>
        </w:rPr>
        <w:t>47.  Le proche des requérants, dont la toxicomanie était connue des autorités, a été placé dans une cellule avec un autre détenu accusé de trafic de stupéfiants et pour lequel un test de dépistage de drogue avait donné un résultat positif. La Cour note que les requérants soulignent ce point à juste titre (paragraphe 28 ci-dessus) et que le Gouvernement n</w:t>
      </w:r>
      <w:r w:rsidR="00014593">
        <w:rPr>
          <w:lang w:val="fr-FR"/>
        </w:rPr>
        <w:t>’</w:t>
      </w:r>
      <w:r w:rsidRPr="00201B2B">
        <w:rPr>
          <w:lang w:val="fr-FR"/>
        </w:rPr>
        <w:t xml:space="preserve">a pas contesté la véracité de leur allégation (paragraphe </w:t>
      </w:r>
      <w:r>
        <w:rPr>
          <w:lang w:val="fr-FR"/>
        </w:rPr>
        <w:t>36</w:t>
      </w:r>
      <w:r w:rsidRPr="00201B2B">
        <w:rPr>
          <w:lang w:val="fr-FR"/>
        </w:rPr>
        <w:t xml:space="preserve"> ci-dessus) ; il n</w:t>
      </w:r>
      <w:r w:rsidR="00014593">
        <w:rPr>
          <w:lang w:val="fr-FR"/>
        </w:rPr>
        <w:t>’</w:t>
      </w:r>
      <w:r w:rsidRPr="00201B2B">
        <w:rPr>
          <w:lang w:val="fr-FR"/>
        </w:rPr>
        <w:t>en demeure pas moins qu</w:t>
      </w:r>
      <w:r w:rsidR="00014593">
        <w:rPr>
          <w:lang w:val="fr-FR"/>
        </w:rPr>
        <w:t>’</w:t>
      </w:r>
      <w:r w:rsidRPr="00201B2B">
        <w:rPr>
          <w:lang w:val="fr-FR"/>
        </w:rPr>
        <w:t>on ne saurait considérer cet incident comme étant la cause du décès du fils et frère des requérants. En effet, la Cour relève que la manière dont ce dernier s</w:t>
      </w:r>
      <w:r w:rsidR="00014593">
        <w:rPr>
          <w:lang w:val="fr-FR"/>
        </w:rPr>
        <w:t>’</w:t>
      </w:r>
      <w:r w:rsidRPr="00201B2B">
        <w:rPr>
          <w:lang w:val="fr-FR"/>
        </w:rPr>
        <w:t>est procuré les stupéfiants demeure inconnue ; on ne saurait dès lors dire avec précision quelle a été la défaillance qui a rendu possibles l</w:t>
      </w:r>
      <w:r w:rsidR="00014593">
        <w:rPr>
          <w:lang w:val="fr-FR"/>
        </w:rPr>
        <w:t>’</w:t>
      </w:r>
      <w:r w:rsidRPr="00201B2B">
        <w:rPr>
          <w:lang w:val="fr-FR"/>
        </w:rPr>
        <w:t>introduction et la circulation de la drogue à l</w:t>
      </w:r>
      <w:r w:rsidR="00014593">
        <w:rPr>
          <w:lang w:val="fr-FR"/>
        </w:rPr>
        <w:t>’</w:t>
      </w:r>
      <w:r w:rsidRPr="00201B2B">
        <w:rPr>
          <w:lang w:val="fr-FR"/>
        </w:rPr>
        <w:t xml:space="preserve">intérieur du pénitencier de Voghera et si le codétenu en question était de quelque manière que ce soit impliqué dans les faits. En outre, vu les informations fournies par le Gouvernement sur le nombre de détenus toxicomanes en Italie (paragraphe </w:t>
      </w:r>
      <w:r>
        <w:rPr>
          <w:lang w:val="fr-FR"/>
        </w:rPr>
        <w:t>32</w:t>
      </w:r>
      <w:r w:rsidRPr="00201B2B">
        <w:rPr>
          <w:lang w:val="fr-FR"/>
        </w:rPr>
        <w:t xml:space="preserve"> ci-dessus), la Cour considère qu</w:t>
      </w:r>
      <w:r w:rsidR="00014593">
        <w:rPr>
          <w:lang w:val="fr-FR"/>
        </w:rPr>
        <w:t>’</w:t>
      </w:r>
      <w:r w:rsidRPr="00201B2B">
        <w:rPr>
          <w:lang w:val="fr-FR"/>
        </w:rPr>
        <w:t>il pourrait s</w:t>
      </w:r>
      <w:r w:rsidR="00014593">
        <w:rPr>
          <w:lang w:val="fr-FR"/>
        </w:rPr>
        <w:t>’</w:t>
      </w:r>
      <w:r w:rsidRPr="00201B2B">
        <w:rPr>
          <w:lang w:val="fr-FR"/>
        </w:rPr>
        <w:t>avérer en pratique difficile, pour les autorités, de séparer systématiquement en milieu carcéral de tout toxicomane les usagers occasionnels de drogue et les trafiquants de stupéfiants.</w:t>
      </w:r>
    </w:p>
    <w:p w:rsidR="00201B2B" w:rsidRPr="00201B2B" w:rsidRDefault="00201B2B" w:rsidP="00201B2B">
      <w:pPr>
        <w:pStyle w:val="ECHRPara"/>
        <w:rPr>
          <w:lang w:val="fr-FR"/>
        </w:rPr>
      </w:pPr>
      <w:r w:rsidRPr="00201B2B">
        <w:rPr>
          <w:lang w:val="fr-FR"/>
        </w:rPr>
        <w:t>48.  La Cour note également que des enquêtes pénale et disciplinaire ont été ouvertes dès la découverte du cadavre du proche des requérants et qu</w:t>
      </w:r>
      <w:r w:rsidR="00014593">
        <w:rPr>
          <w:lang w:val="fr-FR"/>
        </w:rPr>
        <w:t>’</w:t>
      </w:r>
      <w:r w:rsidRPr="00201B2B">
        <w:rPr>
          <w:lang w:val="fr-FR"/>
        </w:rPr>
        <w:t xml:space="preserve">une autopsie a été effectuée en temps utile (paragraphe </w:t>
      </w:r>
      <w:r>
        <w:rPr>
          <w:lang w:val="fr-FR"/>
        </w:rPr>
        <w:t>37</w:t>
      </w:r>
      <w:r w:rsidRPr="00201B2B">
        <w:rPr>
          <w:lang w:val="fr-FR"/>
        </w:rPr>
        <w:t xml:space="preserve"> ci-dessus). À cet égard, elle constate que les requérants n</w:t>
      </w:r>
      <w:r w:rsidR="00014593">
        <w:rPr>
          <w:lang w:val="fr-FR"/>
        </w:rPr>
        <w:t>’</w:t>
      </w:r>
      <w:r w:rsidRPr="00201B2B">
        <w:rPr>
          <w:lang w:val="fr-FR"/>
        </w:rPr>
        <w:t>ont pas soutenu que ces enquêtes ont été défaillantes ou autrement contraires à la Convention.</w:t>
      </w:r>
    </w:p>
    <w:p w:rsidR="00201B2B" w:rsidRPr="00201B2B" w:rsidRDefault="00201B2B" w:rsidP="00201B2B">
      <w:pPr>
        <w:pStyle w:val="ECHRPara"/>
        <w:rPr>
          <w:rStyle w:val="sb8d990e2"/>
          <w:lang w:val="fr-FR"/>
        </w:rPr>
      </w:pPr>
      <w:r w:rsidRPr="00201B2B">
        <w:rPr>
          <w:lang w:val="fr-FR"/>
        </w:rPr>
        <w:t>49.  </w:t>
      </w:r>
      <w:r w:rsidRPr="00201B2B">
        <w:rPr>
          <w:rFonts w:cstheme="minorHAnsi"/>
          <w:lang w:val="fr-FR"/>
        </w:rPr>
        <w:t>À</w:t>
      </w:r>
      <w:r w:rsidRPr="00201B2B">
        <w:rPr>
          <w:lang w:val="fr-FR"/>
        </w:rPr>
        <w:t xml:space="preserve"> la lumière de ce qui précède, la Cour considère que le fait que le fils et frère des requérants, tout en se trouvant en détention, ait pu se procurer et utiliser de la drogue, ne saurait, à lui seul, entraîner la responsabilité de l</w:t>
      </w:r>
      <w:r w:rsidR="00014593">
        <w:rPr>
          <w:lang w:val="fr-FR"/>
        </w:rPr>
        <w:t>’</w:t>
      </w:r>
      <w:r w:rsidRPr="00201B2B">
        <w:rPr>
          <w:lang w:val="fr-FR"/>
        </w:rPr>
        <w:t xml:space="preserve">État quant au décès en cause (voir, </w:t>
      </w:r>
      <w:r w:rsidRPr="00201B2B">
        <w:rPr>
          <w:i/>
          <w:lang w:val="fr-FR"/>
        </w:rPr>
        <w:t>mutatis mutandis</w:t>
      </w:r>
      <w:r w:rsidRPr="00201B2B">
        <w:rPr>
          <w:lang w:val="fr-FR"/>
        </w:rPr>
        <w:t>,</w:t>
      </w:r>
      <w:r w:rsidRPr="00201B2B">
        <w:rPr>
          <w:i/>
          <w:lang w:val="fr-FR"/>
        </w:rPr>
        <w:t xml:space="preserve"> Volk c. Slovenie</w:t>
      </w:r>
      <w:r w:rsidRPr="00201B2B">
        <w:rPr>
          <w:lang w:val="fr-FR"/>
        </w:rPr>
        <w:t>, n</w:t>
      </w:r>
      <w:r w:rsidRPr="00201B2B">
        <w:rPr>
          <w:vertAlign w:val="superscript"/>
          <w:lang w:val="fr-FR"/>
        </w:rPr>
        <w:t>o</w:t>
      </w:r>
      <w:r w:rsidRPr="00201B2B">
        <w:rPr>
          <w:lang w:val="fr-FR"/>
        </w:rPr>
        <w:t> </w:t>
      </w:r>
      <w:r w:rsidRPr="00201B2B">
        <w:rPr>
          <w:rStyle w:val="s6b621b36"/>
          <w:lang w:val="fr-FR"/>
        </w:rPr>
        <w:t>62120/09</w:t>
      </w:r>
      <w:r w:rsidRPr="00201B2B">
        <w:rPr>
          <w:lang w:val="fr-FR"/>
        </w:rPr>
        <w:t>, § 90, 13 décembre 2012)</w:t>
      </w:r>
      <w:r w:rsidRPr="00201B2B">
        <w:rPr>
          <w:rStyle w:val="sb8d990e2"/>
          <w:lang w:val="fr-FR"/>
        </w:rPr>
        <w:t>.</w:t>
      </w:r>
    </w:p>
    <w:p w:rsidR="00201B2B" w:rsidRPr="00201B2B" w:rsidRDefault="00201B2B" w:rsidP="00201B2B">
      <w:pPr>
        <w:pStyle w:val="ECHRPara"/>
        <w:rPr>
          <w:lang w:val="fr-FR"/>
        </w:rPr>
      </w:pPr>
      <w:r w:rsidRPr="00201B2B">
        <w:rPr>
          <w:rStyle w:val="sb8d990e2"/>
          <w:lang w:val="fr-FR"/>
        </w:rPr>
        <w:t>50.  Dans ces circonstances, la Cour estime qu</w:t>
      </w:r>
      <w:r w:rsidR="00014593">
        <w:rPr>
          <w:rStyle w:val="sb8d990e2"/>
          <w:lang w:val="fr-FR"/>
        </w:rPr>
        <w:t>’</w:t>
      </w:r>
      <w:r w:rsidRPr="00201B2B">
        <w:rPr>
          <w:rStyle w:val="sb8d990e2"/>
          <w:lang w:val="fr-FR"/>
        </w:rPr>
        <w:t>aucune apparence de violation de l</w:t>
      </w:r>
      <w:r w:rsidR="00014593">
        <w:rPr>
          <w:rStyle w:val="sb8d990e2"/>
          <w:lang w:val="fr-FR"/>
        </w:rPr>
        <w:t>’</w:t>
      </w:r>
      <w:r w:rsidRPr="00201B2B">
        <w:rPr>
          <w:rStyle w:val="sb8d990e2"/>
          <w:lang w:val="fr-FR"/>
        </w:rPr>
        <w:t>article 2 de la Convention ne saurait être décelée en l</w:t>
      </w:r>
      <w:r w:rsidR="00014593">
        <w:rPr>
          <w:rStyle w:val="sb8d990e2"/>
          <w:lang w:val="fr-FR"/>
        </w:rPr>
        <w:t>’</w:t>
      </w:r>
      <w:r w:rsidRPr="00201B2B">
        <w:rPr>
          <w:rStyle w:val="sb8d990e2"/>
          <w:lang w:val="fr-FR"/>
        </w:rPr>
        <w:t>espèce.</w:t>
      </w:r>
    </w:p>
    <w:p w:rsidR="00201B2B" w:rsidRPr="00201B2B" w:rsidRDefault="00201B2B" w:rsidP="00201B2B">
      <w:pPr>
        <w:pStyle w:val="ECHRPara"/>
        <w:rPr>
          <w:lang w:val="fr-FR"/>
        </w:rPr>
      </w:pPr>
      <w:r w:rsidRPr="00201B2B">
        <w:rPr>
          <w:snapToGrid w:val="0"/>
          <w:lang w:val="fr-FR"/>
        </w:rPr>
        <w:t>51.  Il s</w:t>
      </w:r>
      <w:r w:rsidR="00014593">
        <w:rPr>
          <w:snapToGrid w:val="0"/>
          <w:lang w:val="fr-FR"/>
        </w:rPr>
        <w:t>’</w:t>
      </w:r>
      <w:r w:rsidRPr="00201B2B">
        <w:rPr>
          <w:snapToGrid w:val="0"/>
          <w:lang w:val="fr-FR"/>
        </w:rPr>
        <w:t>ensuit que la requête est manifestement mal fondée et qu</w:t>
      </w:r>
      <w:r w:rsidR="00014593">
        <w:rPr>
          <w:snapToGrid w:val="0"/>
          <w:lang w:val="fr-FR"/>
        </w:rPr>
        <w:t>’</w:t>
      </w:r>
      <w:r w:rsidRPr="00201B2B">
        <w:rPr>
          <w:snapToGrid w:val="0"/>
          <w:lang w:val="fr-FR"/>
        </w:rPr>
        <w:t>elle doit être rejetée, en application de l</w:t>
      </w:r>
      <w:r w:rsidR="00014593">
        <w:rPr>
          <w:snapToGrid w:val="0"/>
          <w:lang w:val="fr-FR"/>
        </w:rPr>
        <w:t>’</w:t>
      </w:r>
      <w:r w:rsidRPr="00201B2B">
        <w:rPr>
          <w:snapToGrid w:val="0"/>
          <w:lang w:val="fr-FR"/>
        </w:rPr>
        <w:t>article 35 §§ 3 </w:t>
      </w:r>
      <w:r w:rsidRPr="00201B2B">
        <w:rPr>
          <w:lang w:val="fr-FR"/>
        </w:rPr>
        <w:t xml:space="preserve">a) </w:t>
      </w:r>
      <w:r w:rsidRPr="00201B2B">
        <w:rPr>
          <w:snapToGrid w:val="0"/>
          <w:lang w:val="fr-FR"/>
        </w:rPr>
        <w:t>et 4 de la Convention.</w:t>
      </w:r>
    </w:p>
    <w:p w:rsidR="00201B2B" w:rsidRPr="00201B2B" w:rsidRDefault="00201B2B" w:rsidP="00201B2B">
      <w:pPr>
        <w:pStyle w:val="JuParaLast"/>
        <w:rPr>
          <w:lang w:val="fr-FR"/>
        </w:rPr>
      </w:pPr>
      <w:r w:rsidRPr="00201B2B">
        <w:rPr>
          <w:lang w:val="fr-FR"/>
        </w:rPr>
        <w:t>Par ces motifs, la Cour, à l</w:t>
      </w:r>
      <w:r w:rsidR="00014593">
        <w:rPr>
          <w:lang w:val="fr-FR"/>
        </w:rPr>
        <w:t>’</w:t>
      </w:r>
      <w:r w:rsidRPr="00201B2B">
        <w:rPr>
          <w:lang w:val="fr-FR"/>
        </w:rPr>
        <w:t>unanimité,</w:t>
      </w:r>
    </w:p>
    <w:p w:rsidR="00201B2B" w:rsidRPr="00201B2B" w:rsidRDefault="00201B2B" w:rsidP="00201B2B">
      <w:pPr>
        <w:pStyle w:val="DecList"/>
        <w:rPr>
          <w:lang w:val="fr-FR"/>
        </w:rPr>
      </w:pPr>
      <w:r w:rsidRPr="00201B2B">
        <w:rPr>
          <w:i/>
          <w:lang w:val="fr-FR"/>
        </w:rPr>
        <w:t>Déclare</w:t>
      </w:r>
      <w:r w:rsidRPr="00201B2B">
        <w:rPr>
          <w:lang w:val="fr-FR"/>
        </w:rPr>
        <w:t xml:space="preserve"> la requête irrecevable.</w:t>
      </w:r>
    </w:p>
    <w:p w:rsidR="00CE6ED9" w:rsidRPr="00201B2B" w:rsidRDefault="00201B2B" w:rsidP="00B87FB1">
      <w:pPr>
        <w:pStyle w:val="JuSigned"/>
        <w:rPr>
          <w:lang w:val="fr-FR"/>
        </w:rPr>
      </w:pPr>
      <w:r w:rsidRPr="00201B2B">
        <w:rPr>
          <w:lang w:val="fr-FR"/>
        </w:rPr>
        <w:tab/>
        <w:t>Stanley Naismith</w:t>
      </w:r>
      <w:r w:rsidR="006544C4" w:rsidRPr="00201B2B">
        <w:rPr>
          <w:lang w:val="fr-FR"/>
        </w:rPr>
        <w:tab/>
      </w:r>
      <w:r w:rsidRPr="00201B2B">
        <w:rPr>
          <w:lang w:val="fr-FR"/>
        </w:rPr>
        <w:t>Işıl Karakaş</w:t>
      </w:r>
      <w:r w:rsidR="006544C4" w:rsidRPr="00201B2B">
        <w:rPr>
          <w:lang w:val="fr-FR"/>
        </w:rPr>
        <w:br/>
      </w:r>
      <w:r w:rsidR="006544C4" w:rsidRPr="00201B2B">
        <w:rPr>
          <w:lang w:val="fr-FR"/>
        </w:rPr>
        <w:tab/>
      </w:r>
      <w:r w:rsidRPr="00201B2B">
        <w:rPr>
          <w:lang w:val="fr-FR"/>
        </w:rPr>
        <w:t>Greffier</w:t>
      </w:r>
      <w:r w:rsidR="006544C4" w:rsidRPr="00201B2B">
        <w:rPr>
          <w:lang w:val="fr-FR"/>
        </w:rPr>
        <w:tab/>
      </w:r>
      <w:r w:rsidRPr="00201B2B">
        <w:rPr>
          <w:lang w:val="fr-FR"/>
        </w:rPr>
        <w:t>Présidente</w:t>
      </w:r>
    </w:p>
    <w:p w:rsidR="00201B2B" w:rsidRPr="005B365A" w:rsidRDefault="00201B2B" w:rsidP="00234E8A">
      <w:pPr>
        <w:rPr>
          <w:lang w:val="fr-FR"/>
        </w:rPr>
      </w:pPr>
      <w:r w:rsidRPr="005B365A">
        <w:rPr>
          <w:lang w:val="fr-FR"/>
        </w:rPr>
        <w:br w:type="page"/>
      </w:r>
    </w:p>
    <w:p w:rsidR="00201B2B" w:rsidRPr="005B365A" w:rsidRDefault="00201B2B" w:rsidP="00234E8A">
      <w:pPr>
        <w:pStyle w:val="JuTitle"/>
        <w:rPr>
          <w:lang w:val="fr-FR"/>
        </w:rPr>
      </w:pPr>
    </w:p>
    <w:p w:rsidR="004D15F3" w:rsidRDefault="00201B2B" w:rsidP="00234E8A">
      <w:pPr>
        <w:pStyle w:val="JuTitle"/>
        <w:rPr>
          <w:lang w:val="fr-FR"/>
        </w:rPr>
      </w:pPr>
      <w:r w:rsidRPr="005B365A">
        <w:rPr>
          <w:lang w:val="fr-FR"/>
        </w:rPr>
        <w:t>ANNEXE</w:t>
      </w:r>
    </w:p>
    <w:p w:rsidR="00201B2B" w:rsidRPr="00764BB5" w:rsidRDefault="00201B2B" w:rsidP="00201B2B"/>
    <w:p w:rsidR="00201B2B" w:rsidRPr="00764BB5" w:rsidRDefault="00201B2B" w:rsidP="00201B2B">
      <w:pPr>
        <w:rPr>
          <w:bCs/>
        </w:rPr>
      </w:pPr>
    </w:p>
    <w:p w:rsidR="00201B2B" w:rsidRDefault="00201B2B" w:rsidP="00201B2B">
      <w:pPr>
        <w:numPr>
          <w:ilvl w:val="0"/>
          <w:numId w:val="24"/>
        </w:numPr>
        <w:tabs>
          <w:tab w:val="left" w:pos="425"/>
        </w:tabs>
        <w:suppressAutoHyphens/>
        <w:ind w:left="0" w:firstLine="0"/>
        <w:rPr>
          <w:szCs w:val="24"/>
          <w:lang w:val="fr-FR"/>
        </w:rPr>
      </w:pPr>
      <w:r w:rsidRPr="00373FBE">
        <w:rPr>
          <w:szCs w:val="24"/>
          <w:lang w:val="fr-FR"/>
        </w:rPr>
        <w:t>Esterina MARRO est une ressortissante italienne née en 1946, résidant à Stradella</w:t>
      </w:r>
    </w:p>
    <w:p w:rsidR="00201B2B" w:rsidRPr="00373FBE" w:rsidRDefault="00201B2B" w:rsidP="00201B2B">
      <w:pPr>
        <w:numPr>
          <w:ilvl w:val="0"/>
          <w:numId w:val="24"/>
        </w:numPr>
        <w:tabs>
          <w:tab w:val="left" w:pos="425"/>
        </w:tabs>
        <w:suppressAutoHyphens/>
        <w:ind w:left="0" w:firstLine="0"/>
        <w:rPr>
          <w:b/>
          <w:szCs w:val="24"/>
          <w:lang w:val="fr-FR"/>
        </w:rPr>
      </w:pPr>
      <w:r w:rsidRPr="00373FBE">
        <w:rPr>
          <w:szCs w:val="24"/>
          <w:lang w:val="fr-FR"/>
        </w:rPr>
        <w:t>Alessandro MARRA est un ressortissant italien né en 1967, résidant à Stradella</w:t>
      </w:r>
    </w:p>
    <w:p w:rsidR="00201B2B" w:rsidRPr="00373FBE" w:rsidRDefault="00201B2B" w:rsidP="00201B2B">
      <w:pPr>
        <w:numPr>
          <w:ilvl w:val="0"/>
          <w:numId w:val="24"/>
        </w:numPr>
        <w:tabs>
          <w:tab w:val="left" w:pos="425"/>
        </w:tabs>
        <w:suppressAutoHyphens/>
        <w:ind w:left="0" w:firstLine="0"/>
        <w:rPr>
          <w:b/>
          <w:szCs w:val="24"/>
          <w:lang w:val="fr-FR"/>
        </w:rPr>
      </w:pPr>
      <w:r w:rsidRPr="00373FBE">
        <w:rPr>
          <w:szCs w:val="24"/>
          <w:lang w:val="fr-FR"/>
        </w:rPr>
        <w:t>Carmine MARRA est un ressortissant italien né en 1968, résidant à Stradella</w:t>
      </w:r>
    </w:p>
    <w:p w:rsidR="00201B2B" w:rsidRPr="00373FBE" w:rsidRDefault="00201B2B" w:rsidP="00201B2B">
      <w:pPr>
        <w:numPr>
          <w:ilvl w:val="0"/>
          <w:numId w:val="24"/>
        </w:numPr>
        <w:tabs>
          <w:tab w:val="left" w:pos="425"/>
        </w:tabs>
        <w:suppressAutoHyphens/>
        <w:ind w:left="0" w:firstLine="0"/>
        <w:rPr>
          <w:b/>
          <w:szCs w:val="24"/>
          <w:lang w:val="fr-FR"/>
        </w:rPr>
      </w:pPr>
      <w:r w:rsidRPr="00373FBE">
        <w:rPr>
          <w:szCs w:val="24"/>
          <w:lang w:val="fr-FR"/>
        </w:rPr>
        <w:t>Anna MARRA est une ressortissante italienne née en 1973, résidant à Stradella</w:t>
      </w:r>
    </w:p>
    <w:p w:rsidR="00201B2B" w:rsidRPr="00373FBE" w:rsidRDefault="00201B2B" w:rsidP="00201B2B">
      <w:pPr>
        <w:rPr>
          <w:szCs w:val="24"/>
          <w:lang w:val="fr-FR"/>
        </w:rPr>
      </w:pPr>
    </w:p>
    <w:p w:rsidR="00201B2B" w:rsidRPr="00373FBE" w:rsidRDefault="00201B2B" w:rsidP="00201B2B">
      <w:pPr>
        <w:rPr>
          <w:szCs w:val="24"/>
          <w:lang w:val="fr-FR"/>
        </w:rPr>
      </w:pPr>
    </w:p>
    <w:p w:rsidR="00201B2B" w:rsidRPr="00373FBE" w:rsidRDefault="00201B2B" w:rsidP="00201B2B">
      <w:pPr>
        <w:rPr>
          <w:lang w:val="fr-FR"/>
        </w:rPr>
      </w:pPr>
    </w:p>
    <w:p w:rsidR="00234E8A" w:rsidRPr="00234E8A" w:rsidRDefault="00234E8A" w:rsidP="00234E8A">
      <w:pPr>
        <w:rPr>
          <w:lang w:val="fr-FR"/>
        </w:rPr>
      </w:pPr>
    </w:p>
    <w:sectPr w:rsidR="00234E8A" w:rsidRPr="00234E8A" w:rsidSect="00AF7102">
      <w:headerReference w:type="even" r:id="rId12"/>
      <w:headerReference w:type="default" r:id="rId13"/>
      <w:headerReference w:type="first" r:id="rId14"/>
      <w:footerReference w:type="first" r:id="rId15"/>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B2B" w:rsidRDefault="00201B2B" w:rsidP="006544C4">
      <w:r>
        <w:separator/>
      </w:r>
    </w:p>
  </w:endnote>
  <w:endnote w:type="continuationSeparator" w:id="0">
    <w:p w:rsidR="00201B2B" w:rsidRDefault="00201B2B" w:rsidP="0065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B2B" w:rsidRPr="00150BFA" w:rsidRDefault="00201B2B" w:rsidP="00201B2B">
    <w:pPr>
      <w:jc w:val="center"/>
    </w:pPr>
    <w:r>
      <w:rPr>
        <w:noProof/>
        <w:lang w:val="it-IT" w:eastAsia="it-IT"/>
      </w:rPr>
      <w:drawing>
        <wp:inline distT="0" distB="0" distL="0" distR="0" wp14:anchorId="7FB19A9F" wp14:editId="5B85B51B">
          <wp:extent cx="771525" cy="619125"/>
          <wp:effectExtent l="0" t="0" r="9525" b="9525"/>
          <wp:docPr id="20" name="Picture 20"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201B2B" w:rsidRPr="00633A19" w:rsidRDefault="00201B2B" w:rsidP="00201B2B">
    <w:pPr>
      <w:jc w:val="cen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B2B" w:rsidRDefault="00201B2B" w:rsidP="006544C4">
      <w:r>
        <w:separator/>
      </w:r>
    </w:p>
  </w:footnote>
  <w:footnote w:type="continuationSeparator" w:id="0">
    <w:p w:rsidR="00201B2B" w:rsidRDefault="00201B2B" w:rsidP="00654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B2B" w:rsidRPr="007872C6" w:rsidRDefault="00201B2B" w:rsidP="003312A3">
    <w:pPr>
      <w:pStyle w:val="ECHRHeader"/>
      <w:rPr>
        <w:lang w:val="fr-FR"/>
      </w:rPr>
    </w:pPr>
    <w:r>
      <w:rPr>
        <w:rStyle w:val="Numeropagina"/>
        <w:lang w:val="en-GB"/>
      </w:rPr>
      <w:fldChar w:fldCharType="begin"/>
    </w:r>
    <w:r w:rsidRPr="007872C6">
      <w:rPr>
        <w:rStyle w:val="Numeropagina"/>
        <w:lang w:val="fr-FR"/>
      </w:rPr>
      <w:instrText xml:space="preserve"> PAGE </w:instrText>
    </w:r>
    <w:r>
      <w:rPr>
        <w:rStyle w:val="Numeropagina"/>
        <w:lang w:val="en-GB"/>
      </w:rPr>
      <w:fldChar w:fldCharType="separate"/>
    </w:r>
    <w:r w:rsidR="00093D69">
      <w:rPr>
        <w:rStyle w:val="Numeropagina"/>
        <w:noProof/>
        <w:lang w:val="fr-FR"/>
      </w:rPr>
      <w:t>2</w:t>
    </w:r>
    <w:r>
      <w:rPr>
        <w:rStyle w:val="Numeropagina"/>
        <w:lang w:val="en-GB"/>
      </w:rPr>
      <w:fldChar w:fldCharType="end"/>
    </w:r>
    <w:r w:rsidRPr="007872C6">
      <w:rPr>
        <w:lang w:val="fr-FR"/>
      </w:rPr>
      <w:tab/>
      <w:t xml:space="preserve">DÉCISION MARRO </w:t>
    </w:r>
    <w:r w:rsidR="005D549E" w:rsidRPr="007872C6">
      <w:rPr>
        <w:lang w:val="fr-FR"/>
      </w:rPr>
      <w:t xml:space="preserve">ET AUTRES </w:t>
    </w:r>
    <w:r w:rsidRPr="007872C6">
      <w:rPr>
        <w:lang w:val="fr-FR"/>
      </w:rPr>
      <w:t>c.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B2B" w:rsidRPr="007872C6" w:rsidRDefault="00201B2B" w:rsidP="006544C4">
    <w:pPr>
      <w:pStyle w:val="ECHRHeader"/>
      <w:rPr>
        <w:lang w:val="fr-FR"/>
      </w:rPr>
    </w:pPr>
    <w:r>
      <w:tab/>
    </w:r>
    <w:r w:rsidRPr="007872C6">
      <w:rPr>
        <w:lang w:val="fr-FR"/>
      </w:rPr>
      <w:t>DÉCISION MARRO</w:t>
    </w:r>
    <w:r w:rsidR="005D549E" w:rsidRPr="007872C6">
      <w:rPr>
        <w:lang w:val="fr-FR"/>
      </w:rPr>
      <w:t xml:space="preserve"> ET AUTRES</w:t>
    </w:r>
    <w:r w:rsidRPr="007872C6">
      <w:rPr>
        <w:lang w:val="fr-FR"/>
      </w:rPr>
      <w:t xml:space="preserve"> c. ITALIE</w:t>
    </w:r>
    <w:r w:rsidRPr="007872C6">
      <w:rPr>
        <w:lang w:val="fr-FR"/>
      </w:rPr>
      <w:tab/>
    </w:r>
    <w:r>
      <w:rPr>
        <w:rStyle w:val="Numeropagina"/>
        <w:lang w:val="en-GB"/>
      </w:rPr>
      <w:fldChar w:fldCharType="begin"/>
    </w:r>
    <w:r w:rsidRPr="007872C6">
      <w:rPr>
        <w:rStyle w:val="Numeropagina"/>
        <w:lang w:val="fr-FR"/>
      </w:rPr>
      <w:instrText xml:space="preserve"> PAGE </w:instrText>
    </w:r>
    <w:r>
      <w:rPr>
        <w:rStyle w:val="Numeropagina"/>
        <w:lang w:val="en-GB"/>
      </w:rPr>
      <w:fldChar w:fldCharType="separate"/>
    </w:r>
    <w:r w:rsidR="00CF4584">
      <w:rPr>
        <w:rStyle w:val="Numeropagina"/>
        <w:noProof/>
        <w:lang w:val="fr-FR"/>
      </w:rPr>
      <w:t>3</w:t>
    </w:r>
    <w:r>
      <w:rPr>
        <w:rStyle w:val="Numeropagina"/>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B2B" w:rsidRPr="00A45145" w:rsidRDefault="00201B2B" w:rsidP="00201B2B">
    <w:pPr>
      <w:jc w:val="center"/>
    </w:pPr>
    <w:r>
      <w:rPr>
        <w:noProof/>
        <w:lang w:val="it-IT" w:eastAsia="it-IT"/>
      </w:rPr>
      <w:drawing>
        <wp:inline distT="0" distB="0" distL="0" distR="0" wp14:anchorId="0C6FD16C" wp14:editId="38C1D914">
          <wp:extent cx="2962275" cy="1219200"/>
          <wp:effectExtent l="0" t="0" r="9525" b="0"/>
          <wp:docPr id="13" name="Picture 1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201B2B" w:rsidRDefault="00201B2B" w:rsidP="00201B2B">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6C560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B784B494"/>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52BEA742"/>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50CE4694"/>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BBB0CDAA"/>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D3FAB61E"/>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DE83B68"/>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15E9F46"/>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B16086F"/>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1">
    <w:nsid w:val="0F5865E5"/>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2">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989571C"/>
    <w:multiLevelType w:val="multilevel"/>
    <w:tmpl w:val="F842BC8C"/>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4">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EE118D8"/>
    <w:multiLevelType w:val="hybridMultilevel"/>
    <w:tmpl w:val="213679D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7CCD2930"/>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10"/>
  </w:num>
  <w:num w:numId="7">
    <w:abstractNumId w:val="11"/>
  </w:num>
  <w:num w:numId="8">
    <w:abstractNumId w:val="7"/>
  </w:num>
  <w:num w:numId="9">
    <w:abstractNumId w:val="6"/>
  </w:num>
  <w:num w:numId="10">
    <w:abstractNumId w:val="17"/>
  </w:num>
  <w:num w:numId="11">
    <w:abstractNumId w:val="17"/>
  </w:num>
  <w:num w:numId="12">
    <w:abstractNumId w:val="14"/>
  </w:num>
  <w:num w:numId="13">
    <w:abstractNumId w:val="16"/>
  </w:num>
  <w:num w:numId="14">
    <w:abstractNumId w:val="18"/>
  </w:num>
  <w:num w:numId="15">
    <w:abstractNumId w:val="9"/>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3"/>
  </w:num>
  <w:num w:numId="24">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AppNatAutre" w:val="0"/>
    <w:docVar w:name="DocVarPREMATURE" w:val="0"/>
    <w:docVar w:name="EMM" w:val="0"/>
    <w:docVar w:name="ETRANSMISSION" w:val="PAR VOIE ÉLECTRONIQUE UNIQUEMENT"/>
    <w:docVar w:name="L4_1Annex" w:val="0"/>
    <w:docVar w:name="L4_1Anonymity" w:val="0"/>
    <w:docVar w:name="NBEMMDOC" w:val="0"/>
    <w:docVar w:name="Plural" w:val="3"/>
    <w:docVar w:name="SignForeName" w:val="0"/>
  </w:docVars>
  <w:rsids>
    <w:rsidRoot w:val="00201B2B"/>
    <w:rsid w:val="000041F8"/>
    <w:rsid w:val="000042A8"/>
    <w:rsid w:val="00004308"/>
    <w:rsid w:val="00005BF0"/>
    <w:rsid w:val="00007154"/>
    <w:rsid w:val="000103AE"/>
    <w:rsid w:val="00011D69"/>
    <w:rsid w:val="00012AD3"/>
    <w:rsid w:val="00014593"/>
    <w:rsid w:val="00015C2D"/>
    <w:rsid w:val="00015F00"/>
    <w:rsid w:val="00022C1D"/>
    <w:rsid w:val="00034987"/>
    <w:rsid w:val="000602DF"/>
    <w:rsid w:val="00061B05"/>
    <w:rsid w:val="000632D5"/>
    <w:rsid w:val="00063719"/>
    <w:rsid w:val="000644EE"/>
    <w:rsid w:val="000925AD"/>
    <w:rsid w:val="00093D69"/>
    <w:rsid w:val="000A24EB"/>
    <w:rsid w:val="000B6923"/>
    <w:rsid w:val="000C5F3C"/>
    <w:rsid w:val="000C6DCC"/>
    <w:rsid w:val="000D47AA"/>
    <w:rsid w:val="000D721F"/>
    <w:rsid w:val="000E069B"/>
    <w:rsid w:val="000E0E82"/>
    <w:rsid w:val="000E1DC5"/>
    <w:rsid w:val="000E223F"/>
    <w:rsid w:val="000E7D45"/>
    <w:rsid w:val="000F7851"/>
    <w:rsid w:val="00101152"/>
    <w:rsid w:val="00104E23"/>
    <w:rsid w:val="00111B0C"/>
    <w:rsid w:val="00120D6C"/>
    <w:rsid w:val="001257EC"/>
    <w:rsid w:val="00133D33"/>
    <w:rsid w:val="00134D64"/>
    <w:rsid w:val="00135A30"/>
    <w:rsid w:val="0013612C"/>
    <w:rsid w:val="00137FF6"/>
    <w:rsid w:val="00141650"/>
    <w:rsid w:val="00162A12"/>
    <w:rsid w:val="00166530"/>
    <w:rsid w:val="001832BD"/>
    <w:rsid w:val="001943B5"/>
    <w:rsid w:val="00195134"/>
    <w:rsid w:val="001A145B"/>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1B2B"/>
    <w:rsid w:val="00205F9F"/>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948AD"/>
    <w:rsid w:val="002A01CC"/>
    <w:rsid w:val="002A61B1"/>
    <w:rsid w:val="002A663C"/>
    <w:rsid w:val="002B444B"/>
    <w:rsid w:val="002B5887"/>
    <w:rsid w:val="002C0E27"/>
    <w:rsid w:val="002C3040"/>
    <w:rsid w:val="002D022D"/>
    <w:rsid w:val="002D24BB"/>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6AC7"/>
    <w:rsid w:val="003609FA"/>
    <w:rsid w:val="003710C8"/>
    <w:rsid w:val="003750BE"/>
    <w:rsid w:val="00381AF0"/>
    <w:rsid w:val="00387B9D"/>
    <w:rsid w:val="0039364F"/>
    <w:rsid w:val="00396686"/>
    <w:rsid w:val="0039778E"/>
    <w:rsid w:val="003B4941"/>
    <w:rsid w:val="003C5714"/>
    <w:rsid w:val="003C6B9F"/>
    <w:rsid w:val="003C6E2A"/>
    <w:rsid w:val="003D0299"/>
    <w:rsid w:val="003E6D80"/>
    <w:rsid w:val="003E747B"/>
    <w:rsid w:val="003F05FA"/>
    <w:rsid w:val="003F244A"/>
    <w:rsid w:val="003F30B8"/>
    <w:rsid w:val="003F4C45"/>
    <w:rsid w:val="003F5F7B"/>
    <w:rsid w:val="003F7D64"/>
    <w:rsid w:val="004047FE"/>
    <w:rsid w:val="00414300"/>
    <w:rsid w:val="00425C67"/>
    <w:rsid w:val="00427E7A"/>
    <w:rsid w:val="00436C49"/>
    <w:rsid w:val="00445366"/>
    <w:rsid w:val="00447F5B"/>
    <w:rsid w:val="00461DB0"/>
    <w:rsid w:val="00463926"/>
    <w:rsid w:val="00464C9A"/>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22DC"/>
    <w:rsid w:val="005173A6"/>
    <w:rsid w:val="00520BAA"/>
    <w:rsid w:val="00525208"/>
    <w:rsid w:val="005257A5"/>
    <w:rsid w:val="005264C0"/>
    <w:rsid w:val="00526A8A"/>
    <w:rsid w:val="00531DF2"/>
    <w:rsid w:val="005442EE"/>
    <w:rsid w:val="00547353"/>
    <w:rsid w:val="005474E7"/>
    <w:rsid w:val="005512A3"/>
    <w:rsid w:val="005578CE"/>
    <w:rsid w:val="00562781"/>
    <w:rsid w:val="0057271C"/>
    <w:rsid w:val="00572845"/>
    <w:rsid w:val="00592772"/>
    <w:rsid w:val="0059574A"/>
    <w:rsid w:val="005A1B9B"/>
    <w:rsid w:val="005A6751"/>
    <w:rsid w:val="005B092E"/>
    <w:rsid w:val="005B152C"/>
    <w:rsid w:val="005B1EE0"/>
    <w:rsid w:val="005B2B24"/>
    <w:rsid w:val="005B4425"/>
    <w:rsid w:val="005B4B94"/>
    <w:rsid w:val="005C3EE8"/>
    <w:rsid w:val="005D34F9"/>
    <w:rsid w:val="005D4190"/>
    <w:rsid w:val="005D549E"/>
    <w:rsid w:val="005D67A3"/>
    <w:rsid w:val="005E2988"/>
    <w:rsid w:val="005E3085"/>
    <w:rsid w:val="005F51E1"/>
    <w:rsid w:val="00611C80"/>
    <w:rsid w:val="00620692"/>
    <w:rsid w:val="006242CA"/>
    <w:rsid w:val="00627507"/>
    <w:rsid w:val="00633717"/>
    <w:rsid w:val="006344E1"/>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C23D4"/>
    <w:rsid w:val="006C7BB0"/>
    <w:rsid w:val="006D3237"/>
    <w:rsid w:val="006E2E37"/>
    <w:rsid w:val="006E3CF1"/>
    <w:rsid w:val="006E7E80"/>
    <w:rsid w:val="006F48CA"/>
    <w:rsid w:val="006F64DD"/>
    <w:rsid w:val="00715127"/>
    <w:rsid w:val="00715E8E"/>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872C6"/>
    <w:rsid w:val="00790E96"/>
    <w:rsid w:val="00793366"/>
    <w:rsid w:val="007A716F"/>
    <w:rsid w:val="007B270A"/>
    <w:rsid w:val="007C0695"/>
    <w:rsid w:val="007C419A"/>
    <w:rsid w:val="007C4CC8"/>
    <w:rsid w:val="007C5426"/>
    <w:rsid w:val="007C5798"/>
    <w:rsid w:val="007D4832"/>
    <w:rsid w:val="007E21B2"/>
    <w:rsid w:val="007E2C4E"/>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93576"/>
    <w:rsid w:val="00893E73"/>
    <w:rsid w:val="008B02DC"/>
    <w:rsid w:val="008B57CE"/>
    <w:rsid w:val="008C26DE"/>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510C"/>
    <w:rsid w:val="009259AC"/>
    <w:rsid w:val="00926F38"/>
    <w:rsid w:val="00934301"/>
    <w:rsid w:val="00936CD1"/>
    <w:rsid w:val="00941747"/>
    <w:rsid w:val="00941EFB"/>
    <w:rsid w:val="00947AFB"/>
    <w:rsid w:val="00951D7D"/>
    <w:rsid w:val="009630C7"/>
    <w:rsid w:val="00972B55"/>
    <w:rsid w:val="009743B7"/>
    <w:rsid w:val="0098228B"/>
    <w:rsid w:val="009828DA"/>
    <w:rsid w:val="00985BAB"/>
    <w:rsid w:val="009B1B5F"/>
    <w:rsid w:val="009B6673"/>
    <w:rsid w:val="009C191B"/>
    <w:rsid w:val="009C2BD6"/>
    <w:rsid w:val="009E1F32"/>
    <w:rsid w:val="009E776C"/>
    <w:rsid w:val="00A1726E"/>
    <w:rsid w:val="00A204CF"/>
    <w:rsid w:val="00A23D49"/>
    <w:rsid w:val="00A27004"/>
    <w:rsid w:val="00A30C29"/>
    <w:rsid w:val="00A317E4"/>
    <w:rsid w:val="00A34DD6"/>
    <w:rsid w:val="00A36819"/>
    <w:rsid w:val="00A36989"/>
    <w:rsid w:val="00A43628"/>
    <w:rsid w:val="00A54192"/>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E0A2E"/>
    <w:rsid w:val="00AE354C"/>
    <w:rsid w:val="00AF4B07"/>
    <w:rsid w:val="00AF6186"/>
    <w:rsid w:val="00AF7102"/>
    <w:rsid w:val="00AF7A3A"/>
    <w:rsid w:val="00B160DB"/>
    <w:rsid w:val="00B20836"/>
    <w:rsid w:val="00B235BB"/>
    <w:rsid w:val="00B27A44"/>
    <w:rsid w:val="00B30BBF"/>
    <w:rsid w:val="00B33C03"/>
    <w:rsid w:val="00B44E56"/>
    <w:rsid w:val="00B46543"/>
    <w:rsid w:val="00B47D33"/>
    <w:rsid w:val="00B52BE0"/>
    <w:rsid w:val="00B54133"/>
    <w:rsid w:val="00B701ED"/>
    <w:rsid w:val="00B8086C"/>
    <w:rsid w:val="00B861B4"/>
    <w:rsid w:val="00B86DFE"/>
    <w:rsid w:val="00B87FB1"/>
    <w:rsid w:val="00B90990"/>
    <w:rsid w:val="00B922FF"/>
    <w:rsid w:val="00B9281E"/>
    <w:rsid w:val="00B93925"/>
    <w:rsid w:val="00B95187"/>
    <w:rsid w:val="00BA2D55"/>
    <w:rsid w:val="00BA71B1"/>
    <w:rsid w:val="00BB0637"/>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1974"/>
    <w:rsid w:val="00C53F4A"/>
    <w:rsid w:val="00C54125"/>
    <w:rsid w:val="00C55B54"/>
    <w:rsid w:val="00C6098E"/>
    <w:rsid w:val="00C6152C"/>
    <w:rsid w:val="00C74810"/>
    <w:rsid w:val="00C90D68"/>
    <w:rsid w:val="00C939FE"/>
    <w:rsid w:val="00CA4BDA"/>
    <w:rsid w:val="00CB1F66"/>
    <w:rsid w:val="00CB2951"/>
    <w:rsid w:val="00CD282B"/>
    <w:rsid w:val="00CD4C35"/>
    <w:rsid w:val="00CD7369"/>
    <w:rsid w:val="00CE0B0E"/>
    <w:rsid w:val="00CE3831"/>
    <w:rsid w:val="00CE6ED9"/>
    <w:rsid w:val="00CF4584"/>
    <w:rsid w:val="00D00ABB"/>
    <w:rsid w:val="00D02EEC"/>
    <w:rsid w:val="00D03551"/>
    <w:rsid w:val="00D06A63"/>
    <w:rsid w:val="00D07E0E"/>
    <w:rsid w:val="00D11478"/>
    <w:rsid w:val="00D15ED0"/>
    <w:rsid w:val="00D21B3E"/>
    <w:rsid w:val="00D21FED"/>
    <w:rsid w:val="00D24251"/>
    <w:rsid w:val="00D343E2"/>
    <w:rsid w:val="00D361A2"/>
    <w:rsid w:val="00D44C2E"/>
    <w:rsid w:val="00D45414"/>
    <w:rsid w:val="00D566BD"/>
    <w:rsid w:val="00D57A4D"/>
    <w:rsid w:val="00D60AA7"/>
    <w:rsid w:val="00D6435F"/>
    <w:rsid w:val="00D75E28"/>
    <w:rsid w:val="00D772C2"/>
    <w:rsid w:val="00D8008E"/>
    <w:rsid w:val="00D82C45"/>
    <w:rsid w:val="00D908A8"/>
    <w:rsid w:val="00D977B6"/>
    <w:rsid w:val="00DA4A31"/>
    <w:rsid w:val="00DA7B04"/>
    <w:rsid w:val="00DB36C2"/>
    <w:rsid w:val="00DC169B"/>
    <w:rsid w:val="00DC2AB9"/>
    <w:rsid w:val="00DC63F0"/>
    <w:rsid w:val="00DD6EE5"/>
    <w:rsid w:val="00DE386C"/>
    <w:rsid w:val="00DE4D35"/>
    <w:rsid w:val="00DF098B"/>
    <w:rsid w:val="00DF11C4"/>
    <w:rsid w:val="00DF210C"/>
    <w:rsid w:val="00DF4B6A"/>
    <w:rsid w:val="00E02897"/>
    <w:rsid w:val="00E02C09"/>
    <w:rsid w:val="00E04D59"/>
    <w:rsid w:val="00E07DA1"/>
    <w:rsid w:val="00E123CB"/>
    <w:rsid w:val="00E20E13"/>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90302"/>
    <w:rsid w:val="00E97396"/>
    <w:rsid w:val="00EA185E"/>
    <w:rsid w:val="00EA592A"/>
    <w:rsid w:val="00EB14E4"/>
    <w:rsid w:val="00EB22ED"/>
    <w:rsid w:val="00EB32A5"/>
    <w:rsid w:val="00EB34ED"/>
    <w:rsid w:val="00EB7BE0"/>
    <w:rsid w:val="00EC315E"/>
    <w:rsid w:val="00ED077C"/>
    <w:rsid w:val="00ED1190"/>
    <w:rsid w:val="00ED24C8"/>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32269"/>
    <w:rsid w:val="00F56A6F"/>
    <w:rsid w:val="00F5709C"/>
    <w:rsid w:val="00F64EF1"/>
    <w:rsid w:val="00F8765F"/>
    <w:rsid w:val="00F90767"/>
    <w:rsid w:val="00FA685B"/>
    <w:rsid w:val="00FB0C01"/>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2" w:uiPriority="0"/>
    <w:lsdException w:name="index 6" w:uiPriority="0"/>
    <w:lsdException w:name="index 8" w:uiPriority="0"/>
    <w:lsdException w:name="toc 1" w:unhideWhenUsed="1"/>
    <w:lsdException w:name="toc 2" w:unhideWhenUsed="1"/>
    <w:lsdException w:name="toc 3" w:unhideWhenUsed="1"/>
    <w:lsdException w:name="toc 4" w:unhideWhenUsed="1"/>
    <w:lsdException w:name="toc 5" w:unhideWhenUsed="1"/>
    <w:lsdException w:name="footnote text" w:unhideWhenUsed="1"/>
    <w:lsdException w:name="annotation text" w:uiPriority="0"/>
    <w:lsdException w:name="header" w:unhideWhenUsed="1"/>
    <w:lsdException w:name="footer" w:unhideWhenUsed="1"/>
    <w:lsdException w:name="index heading" w:uiPriority="0"/>
    <w:lsdException w:name="caption" w:qFormat="1"/>
    <w:lsdException w:name="envelope return" w:uiPriority="0"/>
    <w:lsdException w:name="footnote reference" w:uiPriority="0" w:unhideWhenUsed="1"/>
    <w:lsdException w:name="annotation reference" w:uiPriority="0"/>
    <w:lsdException w:name="line number" w:uiPriority="0"/>
    <w:lsdException w:name="page number" w:qFormat="1"/>
    <w:lsdException w:name="endnote reference" w:uiPriority="0"/>
    <w:lsdException w:name="List Number" w:uiPriority="0"/>
    <w:lsdException w:name="List 2" w:uiPriority="0"/>
    <w:lsdException w:name="List 4" w:uiPriority="0"/>
    <w:lsdException w:name="List Bullet 3" w:uiPriority="0"/>
    <w:lsdException w:name="List Bullet 5" w:uiPriority="0"/>
    <w:lsdException w:name="List Number 3" w:uiPriority="0"/>
    <w:lsdException w:name="List Number 5" w:uiPriority="0"/>
    <w:lsdException w:name="Title" w:semiHidden="0" w:qFormat="1"/>
    <w:lsdException w:name="Default Paragraph Font" w:uiPriority="1" w:unhideWhenUsed="1"/>
    <w:lsdException w:name="Body Text" w:uiPriority="0"/>
    <w:lsdException w:name="List Continue 2" w:uiPriority="0"/>
    <w:lsdException w:name="Subtitle" w:qFormat="1"/>
    <w:lsdException w:name="Body Text First Indent 2" w:uiPriority="0"/>
    <w:lsdException w:name="Body Text Indent 2" w:uiPriority="0"/>
    <w:lsdException w:name="Hyperlink" w:unhideWhenUsed="1"/>
    <w:lsdException w:name="Strong" w:semiHidden="0" w:qFormat="1"/>
    <w:lsdException w:name="Emphasis" w:semiHidden="0" w:qFormat="1"/>
    <w:lsdException w:name="Document Map" w:uiPriority="0"/>
    <w:lsdException w:name="HTML Top of Form" w:unhideWhenUsed="1"/>
    <w:lsdException w:name="HTML Bottom of Form" w:unhideWhenUsed="1"/>
    <w:lsdException w:name="HTML Address" w:uiPriority="0"/>
    <w:lsdException w:name="HTML Keyboard" w:uiPriority="0"/>
    <w:lsdException w:name="HTML Sample" w:uiPriority="0"/>
    <w:lsdException w:name="HTML Variable" w:uiPriority="0"/>
    <w:lsdException w:name="Normal Table" w:unhideWhenUsed="1"/>
    <w:lsdException w:name="annotation subject" w:uiPriority="0"/>
    <w:lsdException w:name="No List" w:unhideWhenUsed="1"/>
    <w:lsdException w:name="Outline List 1" w:uiPriority="0"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qFormat="1"/>
    <w:lsdException w:name="Light Shading" w:semiHidden="0"/>
    <w:lsdException w:name="Light List" w:semiHidden="0" w:uiPriority="61"/>
    <w:lsdException w:name="Light Grid" w:semiHidden="0"/>
    <w:lsdException w:name="Medium Shading 1" w:semiHidden="0"/>
    <w:lsdException w:name="Medium Shading 2" w:semiHidden="0"/>
    <w:lsdException w:name="Medium List 1" w:semiHidden="0"/>
    <w:lsdException w:name="Medium List 2" w:semiHidden="0" w:uiPriority="66"/>
    <w:lsdException w:name="Medium Grid 1" w:semiHidden="0" w:uiPriority="67"/>
    <w:lsdException w:name="Medium Grid 2" w:semiHidden="0"/>
    <w:lsdException w:name="Medium Grid 3" w:semiHidden="0"/>
    <w:lsdException w:name="Dark List" w:semiHidden="0"/>
    <w:lsdException w:name="Colorful Shading" w:semiHidden="0"/>
    <w:lsdException w:name="Colorful List" w:semiHidden="0" w:uiPriority="72"/>
    <w:lsdException w:name="Colorful Grid" w:semiHidden="0"/>
    <w:lsdException w:name="Light Shading Accent 1" w:semiHidden="0"/>
    <w:lsdException w:name="Light List Accent 1" w:semiHidden="0"/>
    <w:lsdException w:name="Light Grid Accent 1" w:semiHidden="0" w:uiPriority="62"/>
    <w:lsdException w:name="Medium Shading 1 Accent 1" w:semiHidden="0" w:uiPriority="63"/>
    <w:lsdException w:name="Medium Shading 2 Accent 1" w:semiHidden="0"/>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uiPriority="68"/>
    <w:lsdException w:name="Medium Grid 3 Accent 1" w:semiHidden="0"/>
    <w:lsdException w:name="Dark List Accent 1" w:semiHidden="0"/>
    <w:lsdException w:name="Colorful Shading Accent 1" w:semiHidden="0"/>
    <w:lsdException w:name="Colorful List Accent 1" w:semiHidden="0"/>
    <w:lsdException w:name="Colorful Grid Accent 1" w:semiHidden="0" w:uiPriority="73"/>
    <w:lsdException w:name="Light Shading Accent 2" w:semiHidden="0"/>
    <w:lsdException w:name="Light List Accent 2" w:semiHidden="0" w:uiPriority="61"/>
    <w:lsdException w:name="Light Grid Accent 2" w:semiHidden="0"/>
    <w:lsdException w:name="Medium Shading 1 Accent 2" w:semiHidden="0"/>
    <w:lsdException w:name="Medium Shading 2 Accent 2" w:semiHidden="0" w:uiPriority="64"/>
    <w:lsdException w:name="Medium List 1 Accent 2" w:semiHidden="0"/>
    <w:lsdException w:name="Medium List 2 Accent 2" w:semiHidden="0" w:uiPriority="66"/>
    <w:lsdException w:name="Medium Grid 1 Accent 2" w:semiHidden="0"/>
    <w:lsdException w:name="Medium Grid 2 Accent 2" w:semiHidden="0"/>
    <w:lsdException w:name="Medium Grid 3 Accent 2" w:semiHidden="0" w:uiPriority="69"/>
    <w:lsdException w:name="Dark List Accent 2" w:semiHidden="0" w:uiPriority="70"/>
    <w:lsdException w:name="Colorful Shading Accent 2" w:semiHidden="0"/>
    <w:lsdException w:name="Colorful List Accent 2" w:semiHidden="0" w:uiPriority="72"/>
    <w:lsdException w:name="Colorful Grid Accent 2" w:semiHidden="0"/>
    <w:lsdException w:name="Light Shading Accent 3" w:semiHidden="0" w:uiPriority="60"/>
    <w:lsdException w:name="Light List Accent 3" w:semiHidden="0"/>
    <w:lsdException w:name="Light Grid Accent 3" w:semiHidden="0"/>
    <w:lsdException w:name="Medium Shading 1 Accent 3" w:semiHidden="0" w:uiPriority="63"/>
    <w:lsdException w:name="Medium Shading 2 Accent 3" w:semiHidden="0"/>
    <w:lsdException w:name="Medium List 1 Accent 3" w:semiHidden="0" w:uiPriority="65"/>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uiPriority="71"/>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uiPriority="66"/>
    <w:lsdException w:name="Medium Grid 1 Accent 4" w:semiHidden="0" w:uiPriority="67"/>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uiPriority="62"/>
    <w:lsdException w:name="Medium Shading 1 Accent 5" w:semiHidden="0" w:uiPriority="63"/>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uiPriority="68"/>
    <w:lsdException w:name="Medium Grid 3 Accent 5" w:semiHidden="0"/>
    <w:lsdException w:name="Dark List Accent 5" w:semiHidden="0"/>
    <w:lsdException w:name="Colorful Shading Accent 5" w:semiHidden="0"/>
    <w:lsdException w:name="Colorful List Accent 5" w:semiHidden="0"/>
    <w:lsdException w:name="Colorful Grid Accent 5" w:semiHidden="0" w:uiPriority="73"/>
    <w:lsdException w:name="Light Shading Accent 6" w:semiHidden="0"/>
    <w:lsdException w:name="Light List Accent 6" w:semiHidden="0" w:uiPriority="61"/>
    <w:lsdException w:name="Light Grid Accent 6" w:semiHidden="0"/>
    <w:lsdException w:name="Medium Shading 1 Accent 6" w:semiHidden="0"/>
    <w:lsdException w:name="Medium Shading 2 Accent 6" w:semiHidden="0" w:uiPriority="64"/>
    <w:lsdException w:name="Medium List 1 Accent 6" w:semiHidden="0"/>
    <w:lsdException w:name="Medium List 2 Accent 6" w:semiHidden="0"/>
    <w:lsdException w:name="Medium Grid 1 Accent 6" w:semiHidden="0" w:uiPriority="67"/>
    <w:lsdException w:name="Medium Grid 2 Accent 6" w:semiHidden="0"/>
    <w:lsdException w:name="Medium Grid 3 Accent 6" w:semiHidden="0" w:uiPriority="69"/>
    <w:lsdException w:name="Dark List Accent 6" w:semiHidden="0" w:uiPriority="70"/>
    <w:lsdException w:name="Colorful Shading Accent 6" w:semiHidden="0"/>
    <w:lsdException w:name="Colorful List Accent 6" w:semiHidden="0" w:uiPriority="72"/>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Normale">
    <w:name w:val="Normal"/>
    <w:semiHidden/>
    <w:rsid w:val="006544C4"/>
    <w:pPr>
      <w:jc w:val="both"/>
    </w:pPr>
    <w:rPr>
      <w:rFonts w:eastAsiaTheme="minorEastAsia"/>
      <w:sz w:val="24"/>
    </w:rPr>
  </w:style>
  <w:style w:type="paragraph" w:styleId="Titolo1">
    <w:name w:val="heading 1"/>
    <w:basedOn w:val="Normale"/>
    <w:next w:val="Normale"/>
    <w:link w:val="Titolo1Carattere"/>
    <w:uiPriority w:val="99"/>
    <w:semiHidden/>
    <w:rsid w:val="00941747"/>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941747"/>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941747"/>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941747"/>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6544C4"/>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94174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6544C4"/>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6544C4"/>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6544C4"/>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94174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71F8"/>
    <w:rPr>
      <w:rFonts w:ascii="Tahoma" w:eastAsiaTheme="minorEastAsia" w:hAnsi="Tahoma" w:cs="Tahoma"/>
      <w:sz w:val="16"/>
      <w:szCs w:val="16"/>
    </w:rPr>
  </w:style>
  <w:style w:type="character" w:styleId="Titolodellibro">
    <w:name w:val="Book Title"/>
    <w:uiPriority w:val="99"/>
    <w:semiHidden/>
    <w:qFormat/>
    <w:rsid w:val="006544C4"/>
    <w:rPr>
      <w:i/>
      <w:iCs/>
      <w:smallCaps/>
      <w:spacing w:val="5"/>
    </w:rPr>
  </w:style>
  <w:style w:type="paragraph" w:customStyle="1" w:styleId="ECHRHeader">
    <w:name w:val="ECHR_Header"/>
    <w:aliases w:val="Ju_Header"/>
    <w:basedOn w:val="Intestazione"/>
    <w:uiPriority w:val="4"/>
    <w:qFormat/>
    <w:rsid w:val="006544C4"/>
    <w:pPr>
      <w:tabs>
        <w:tab w:val="clear" w:pos="4536"/>
        <w:tab w:val="clear" w:pos="9696"/>
        <w:tab w:val="center" w:pos="3686"/>
        <w:tab w:val="right" w:pos="7371"/>
      </w:tabs>
      <w:ind w:left="0" w:right="0"/>
      <w:jc w:val="left"/>
    </w:pPr>
    <w:rPr>
      <w:rFonts w:eastAsiaTheme="minorHAnsi"/>
      <w:sz w:val="18"/>
    </w:rPr>
  </w:style>
  <w:style w:type="paragraph" w:customStyle="1" w:styleId="JuAppQuestion">
    <w:name w:val="Ju_App_Question"/>
    <w:basedOn w:val="Normale"/>
    <w:uiPriority w:val="5"/>
    <w:qFormat/>
    <w:rsid w:val="006544C4"/>
    <w:pPr>
      <w:numPr>
        <w:numId w:val="11"/>
      </w:numPr>
      <w:jc w:val="left"/>
    </w:pPr>
    <w:rPr>
      <w:b/>
    </w:rPr>
  </w:style>
  <w:style w:type="character" w:styleId="Enfasigrassetto">
    <w:name w:val="Strong"/>
    <w:uiPriority w:val="99"/>
    <w:semiHidden/>
    <w:qFormat/>
    <w:rsid w:val="006544C4"/>
    <w:rPr>
      <w:b/>
      <w:bCs/>
    </w:rPr>
  </w:style>
  <w:style w:type="paragraph" w:styleId="Nessunaspaziatura">
    <w:name w:val="No Spacing"/>
    <w:basedOn w:val="Normale"/>
    <w:link w:val="NessunaspaziaturaCarattere"/>
    <w:uiPriority w:val="99"/>
    <w:semiHidden/>
    <w:qFormat/>
    <w:rsid w:val="006544C4"/>
    <w:rPr>
      <w:sz w:val="22"/>
    </w:rPr>
  </w:style>
  <w:style w:type="character" w:customStyle="1" w:styleId="NessunaspaziaturaCarattere">
    <w:name w:val="Nessuna spaziatura Carattere"/>
    <w:basedOn w:val="Carpredefinitoparagrafo"/>
    <w:link w:val="Nessunaspaziatura"/>
    <w:semiHidden/>
    <w:rsid w:val="006544C4"/>
    <w:rPr>
      <w:rFonts w:eastAsiaTheme="minorEastAsia"/>
    </w:rPr>
  </w:style>
  <w:style w:type="paragraph" w:customStyle="1" w:styleId="OpiPara">
    <w:name w:val="Opi_Para"/>
    <w:basedOn w:val="Normale"/>
    <w:uiPriority w:val="46"/>
    <w:semiHidden/>
    <w:qFormat/>
    <w:rsid w:val="004047FE"/>
    <w:pPr>
      <w:ind w:firstLine="284"/>
    </w:pPr>
  </w:style>
  <w:style w:type="paragraph" w:customStyle="1" w:styleId="ECHRParaQuote">
    <w:name w:val="ECHR_Para_Quote"/>
    <w:aliases w:val="Ju_Quot"/>
    <w:basedOn w:val="Normale"/>
    <w:qFormat/>
    <w:rsid w:val="006544C4"/>
    <w:pPr>
      <w:spacing w:before="120" w:after="120"/>
      <w:ind w:left="425" w:firstLine="142"/>
    </w:pPr>
    <w:rPr>
      <w:sz w:val="20"/>
    </w:rPr>
  </w:style>
  <w:style w:type="paragraph" w:customStyle="1" w:styleId="JuParaSub">
    <w:name w:val="Ju_Para_Sub"/>
    <w:basedOn w:val="Normale"/>
    <w:uiPriority w:val="13"/>
    <w:qFormat/>
    <w:rsid w:val="004047FE"/>
    <w:pPr>
      <w:ind w:left="284" w:firstLine="284"/>
    </w:pPr>
  </w:style>
  <w:style w:type="paragraph" w:customStyle="1" w:styleId="OpiParaSub">
    <w:name w:val="Opi_Para_Sub"/>
    <w:basedOn w:val="JuParaSub"/>
    <w:uiPriority w:val="47"/>
    <w:semiHidden/>
    <w:qFormat/>
    <w:rsid w:val="006544C4"/>
  </w:style>
  <w:style w:type="paragraph" w:customStyle="1" w:styleId="OpiQuot">
    <w:name w:val="Opi_Quot"/>
    <w:basedOn w:val="ECHRParaQuote"/>
    <w:uiPriority w:val="48"/>
    <w:semiHidden/>
    <w:qFormat/>
    <w:rsid w:val="006544C4"/>
  </w:style>
  <w:style w:type="paragraph" w:customStyle="1" w:styleId="OpiQuotSub">
    <w:name w:val="Opi_Quot_Sub"/>
    <w:basedOn w:val="JuQuotSub"/>
    <w:uiPriority w:val="49"/>
    <w:semiHidden/>
    <w:qFormat/>
    <w:rsid w:val="006544C4"/>
  </w:style>
  <w:style w:type="paragraph" w:customStyle="1" w:styleId="ECHRTitleCentre3">
    <w:name w:val="ECHR_Title_Centre_3"/>
    <w:aliases w:val="Ju_H_Article"/>
    <w:basedOn w:val="Normale"/>
    <w:next w:val="ECHRParaQuote"/>
    <w:uiPriority w:val="27"/>
    <w:qFormat/>
    <w:rsid w:val="006544C4"/>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semiHidden/>
    <w:qFormat/>
    <w:rsid w:val="006544C4"/>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6544C4"/>
    <w:pPr>
      <w:ind w:left="567"/>
    </w:pPr>
  </w:style>
  <w:style w:type="paragraph" w:customStyle="1" w:styleId="ECHRTitle1">
    <w:name w:val="ECHR_Title_1"/>
    <w:aliases w:val="Ju_H_Head"/>
    <w:basedOn w:val="Normale"/>
    <w:next w:val="Normale"/>
    <w:link w:val="JuHHeadChar"/>
    <w:uiPriority w:val="18"/>
    <w:qFormat/>
    <w:rsid w:val="006544C4"/>
    <w:pPr>
      <w:keepNext/>
      <w:keepLines/>
      <w:spacing w:before="720" w:after="240"/>
      <w:outlineLvl w:val="0"/>
    </w:pPr>
    <w:rPr>
      <w:rFonts w:asciiTheme="majorHAnsi" w:hAnsiTheme="majorHAnsi"/>
      <w:sz w:val="28"/>
    </w:rPr>
  </w:style>
  <w:style w:type="paragraph" w:customStyle="1" w:styleId="JuInitialled">
    <w:name w:val="Ju_Initialled"/>
    <w:basedOn w:val="Normale"/>
    <w:uiPriority w:val="31"/>
    <w:qFormat/>
    <w:rsid w:val="006544C4"/>
    <w:pPr>
      <w:tabs>
        <w:tab w:val="center" w:pos="6407"/>
      </w:tabs>
      <w:spacing w:before="720"/>
      <w:jc w:val="right"/>
    </w:pPr>
  </w:style>
  <w:style w:type="paragraph" w:styleId="Titolo">
    <w:name w:val="Title"/>
    <w:basedOn w:val="Normale"/>
    <w:next w:val="Normale"/>
    <w:link w:val="TitoloCarattere"/>
    <w:uiPriority w:val="99"/>
    <w:semiHidden/>
    <w:qFormat/>
    <w:rsid w:val="006544C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6544C4"/>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semiHidden/>
    <w:qFormat/>
    <w:rsid w:val="006544C4"/>
    <w:pPr>
      <w:tabs>
        <w:tab w:val="clear" w:pos="357"/>
      </w:tabs>
      <w:outlineLvl w:val="1"/>
    </w:pPr>
    <w:rPr>
      <w:b/>
    </w:rPr>
  </w:style>
  <w:style w:type="character" w:customStyle="1" w:styleId="JUNAMES">
    <w:name w:val="JU_NAMES"/>
    <w:uiPriority w:val="17"/>
    <w:qFormat/>
    <w:rsid w:val="006544C4"/>
    <w:rPr>
      <w:caps w:val="0"/>
      <w:smallCaps/>
    </w:rPr>
  </w:style>
  <w:style w:type="character" w:customStyle="1" w:styleId="JuITMark">
    <w:name w:val="Ju_ITMark"/>
    <w:basedOn w:val="Carpredefinitoparagrafo"/>
    <w:qFormat/>
    <w:rsid w:val="006544C4"/>
    <w:rPr>
      <w:vanish/>
      <w:color w:val="339966"/>
      <w:sz w:val="14"/>
    </w:rPr>
  </w:style>
  <w:style w:type="paragraph" w:customStyle="1" w:styleId="OpiTranslation">
    <w:name w:val="Opi_Translation"/>
    <w:basedOn w:val="Normale"/>
    <w:next w:val="OpiPara"/>
    <w:uiPriority w:val="40"/>
    <w:semiHidden/>
    <w:qFormat/>
    <w:rsid w:val="006544C4"/>
    <w:pPr>
      <w:jc w:val="center"/>
      <w:outlineLvl w:val="0"/>
    </w:pPr>
    <w:rPr>
      <w:i/>
    </w:rPr>
  </w:style>
  <w:style w:type="paragraph" w:customStyle="1" w:styleId="JuCourt">
    <w:name w:val="Ju_Court"/>
    <w:basedOn w:val="Normale"/>
    <w:next w:val="Normale"/>
    <w:uiPriority w:val="16"/>
    <w:qFormat/>
    <w:rsid w:val="006544C4"/>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Titolo1"/>
    <w:next w:val="Normale"/>
    <w:link w:val="JuHIRomanChar"/>
    <w:uiPriority w:val="19"/>
    <w:qFormat/>
    <w:rsid w:val="006544C4"/>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Normale"/>
    <w:link w:val="JuHAChar"/>
    <w:uiPriority w:val="20"/>
    <w:qFormat/>
    <w:rsid w:val="006544C4"/>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Titolo3"/>
    <w:next w:val="Normale"/>
    <w:qFormat/>
    <w:rsid w:val="006544C4"/>
    <w:pPr>
      <w:keepNext/>
      <w:keepLines/>
      <w:tabs>
        <w:tab w:val="left" w:pos="731"/>
      </w:tabs>
      <w:spacing w:before="240" w:after="120" w:line="240" w:lineRule="auto"/>
      <w:ind w:left="732" w:hanging="301"/>
    </w:pPr>
    <w:rPr>
      <w:b w:val="0"/>
      <w:i/>
      <w:color w:val="auto"/>
    </w:rPr>
  </w:style>
  <w:style w:type="paragraph" w:styleId="Intestazione">
    <w:name w:val="header"/>
    <w:basedOn w:val="Normale"/>
    <w:link w:val="IntestazioneCarattere"/>
    <w:uiPriority w:val="99"/>
    <w:semiHidden/>
    <w:rsid w:val="00941747"/>
    <w:pPr>
      <w:tabs>
        <w:tab w:val="center" w:pos="4536"/>
        <w:tab w:val="right" w:pos="9696"/>
      </w:tabs>
      <w:ind w:left="-680" w:right="-680"/>
    </w:pPr>
  </w:style>
  <w:style w:type="character" w:customStyle="1" w:styleId="IntestazioneCarattere">
    <w:name w:val="Intestazione Carattere"/>
    <w:basedOn w:val="Carpredefinitoparagrafo"/>
    <w:link w:val="Intestazione"/>
    <w:uiPriority w:val="57"/>
    <w:semiHidden/>
    <w:rsid w:val="008D4752"/>
  </w:style>
  <w:style w:type="character" w:customStyle="1" w:styleId="Titolo1Carattere">
    <w:name w:val="Titolo 1 Carattere"/>
    <w:basedOn w:val="Carpredefinitoparagrafo"/>
    <w:link w:val="Titolo1"/>
    <w:uiPriority w:val="99"/>
    <w:semiHidden/>
    <w:rsid w:val="00A671F8"/>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Titolo4"/>
    <w:next w:val="Normale"/>
    <w:uiPriority w:val="22"/>
    <w:qFormat/>
    <w:rsid w:val="006544C4"/>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Normale"/>
    <w:uiPriority w:val="23"/>
    <w:qFormat/>
    <w:rsid w:val="006544C4"/>
    <w:pPr>
      <w:keepNext/>
      <w:keepLines/>
      <w:tabs>
        <w:tab w:val="left" w:pos="1191"/>
      </w:tabs>
      <w:spacing w:before="240" w:after="120"/>
      <w:ind w:left="1190" w:hanging="357"/>
    </w:pPr>
    <w:rPr>
      <w:b w:val="0"/>
      <w:i/>
      <w:color w:val="auto"/>
      <w:sz w:val="20"/>
    </w:rPr>
  </w:style>
  <w:style w:type="character" w:customStyle="1" w:styleId="Titolo2Carattere">
    <w:name w:val="Titolo 2 Carattere"/>
    <w:basedOn w:val="Carpredefinitoparagrafo"/>
    <w:link w:val="Titolo2"/>
    <w:uiPriority w:val="99"/>
    <w:semiHidden/>
    <w:rsid w:val="00A671F8"/>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Titolo6"/>
    <w:next w:val="Normale"/>
    <w:uiPriority w:val="24"/>
    <w:qFormat/>
    <w:rsid w:val="006544C4"/>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Titolo7"/>
    <w:next w:val="Normale"/>
    <w:uiPriority w:val="25"/>
    <w:qFormat/>
    <w:rsid w:val="006544C4"/>
    <w:pPr>
      <w:keepNext/>
      <w:keepLines/>
      <w:spacing w:before="240" w:after="120"/>
      <w:ind w:left="1236"/>
    </w:pPr>
    <w:rPr>
      <w:sz w:val="20"/>
    </w:rPr>
  </w:style>
  <w:style w:type="character" w:customStyle="1" w:styleId="Titolo3Carattere">
    <w:name w:val="Titolo 3 Carattere"/>
    <w:basedOn w:val="Carpredefinitoparagrafo"/>
    <w:link w:val="Titolo3"/>
    <w:uiPriority w:val="99"/>
    <w:semiHidden/>
    <w:rsid w:val="00A671F8"/>
    <w:rPr>
      <w:rFonts w:asciiTheme="majorHAnsi" w:eastAsiaTheme="majorEastAsia" w:hAnsiTheme="majorHAnsi" w:cstheme="majorBidi"/>
      <w:b/>
      <w:bCs/>
      <w:color w:val="5F5F5F"/>
    </w:rPr>
  </w:style>
  <w:style w:type="paragraph" w:customStyle="1" w:styleId="JuParaLast">
    <w:name w:val="Ju_Para_Last"/>
    <w:basedOn w:val="Normale"/>
    <w:next w:val="Normale"/>
    <w:link w:val="JuParaLastChar"/>
    <w:uiPriority w:val="30"/>
    <w:qFormat/>
    <w:rsid w:val="006544C4"/>
    <w:pPr>
      <w:keepNext/>
      <w:keepLines/>
      <w:spacing w:before="240"/>
      <w:ind w:firstLine="284"/>
    </w:pPr>
  </w:style>
  <w:style w:type="paragraph" w:customStyle="1" w:styleId="DecList">
    <w:name w:val="Dec_List"/>
    <w:basedOn w:val="Normale"/>
    <w:link w:val="DecListChar"/>
    <w:uiPriority w:val="9"/>
    <w:qFormat/>
    <w:rsid w:val="006544C4"/>
    <w:pPr>
      <w:spacing w:before="240"/>
      <w:ind w:left="284"/>
    </w:pPr>
  </w:style>
  <w:style w:type="character" w:customStyle="1" w:styleId="Titolo4Carattere">
    <w:name w:val="Titolo 4 Carattere"/>
    <w:basedOn w:val="Carpredefinitoparagrafo"/>
    <w:link w:val="Titolo4"/>
    <w:uiPriority w:val="99"/>
    <w:semiHidden/>
    <w:rsid w:val="00A671F8"/>
    <w:rPr>
      <w:rFonts w:asciiTheme="majorHAnsi" w:eastAsiaTheme="majorEastAsia" w:hAnsiTheme="majorHAnsi" w:cstheme="majorBidi"/>
      <w:b/>
      <w:bCs/>
      <w:i/>
      <w:iCs/>
      <w:color w:val="777777"/>
    </w:rPr>
  </w:style>
  <w:style w:type="paragraph" w:customStyle="1" w:styleId="ECHRDecisionBody">
    <w:name w:val="ECHR_Decision_Body"/>
    <w:aliases w:val="Ju_Judges"/>
    <w:basedOn w:val="Normale"/>
    <w:uiPriority w:val="11"/>
    <w:qFormat/>
    <w:rsid w:val="006544C4"/>
    <w:pPr>
      <w:tabs>
        <w:tab w:val="left" w:pos="567"/>
        <w:tab w:val="left" w:pos="1134"/>
      </w:tabs>
      <w:jc w:val="left"/>
    </w:pPr>
  </w:style>
  <w:style w:type="character" w:customStyle="1" w:styleId="Titolo5Carattere">
    <w:name w:val="Titolo 5 Carattere"/>
    <w:basedOn w:val="Carpredefinitoparagrafo"/>
    <w:link w:val="Titolo5"/>
    <w:uiPriority w:val="99"/>
    <w:semiHidden/>
    <w:rsid w:val="006544C4"/>
    <w:rPr>
      <w:rFonts w:asciiTheme="majorHAnsi" w:eastAsiaTheme="majorEastAsia" w:hAnsiTheme="majorHAnsi" w:cstheme="majorBidi"/>
      <w:b/>
      <w:bCs/>
      <w:color w:val="808080"/>
    </w:rPr>
  </w:style>
  <w:style w:type="paragraph" w:customStyle="1" w:styleId="JuList">
    <w:name w:val="Ju_List"/>
    <w:basedOn w:val="Normale"/>
    <w:uiPriority w:val="28"/>
    <w:qFormat/>
    <w:rsid w:val="006544C4"/>
    <w:pPr>
      <w:ind w:left="340" w:hanging="340"/>
    </w:pPr>
  </w:style>
  <w:style w:type="paragraph" w:customStyle="1" w:styleId="JuLista">
    <w:name w:val="Ju_List_a"/>
    <w:basedOn w:val="JuList"/>
    <w:uiPriority w:val="28"/>
    <w:qFormat/>
    <w:rsid w:val="006544C4"/>
    <w:pPr>
      <w:ind w:left="346" w:firstLine="0"/>
    </w:pPr>
  </w:style>
  <w:style w:type="character" w:styleId="Enfasidelicata">
    <w:name w:val="Subtle Emphasis"/>
    <w:uiPriority w:val="99"/>
    <w:semiHidden/>
    <w:qFormat/>
    <w:rsid w:val="006544C4"/>
    <w:rPr>
      <w:i/>
      <w:iCs/>
    </w:rPr>
  </w:style>
  <w:style w:type="paragraph" w:customStyle="1" w:styleId="JuListi">
    <w:name w:val="Ju_List_i"/>
    <w:basedOn w:val="Normale"/>
    <w:next w:val="JuLista"/>
    <w:uiPriority w:val="28"/>
    <w:qFormat/>
    <w:rsid w:val="006544C4"/>
    <w:pPr>
      <w:ind w:left="794"/>
    </w:p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1">
    <w:name w:val="Opi_H_1"/>
    <w:basedOn w:val="ECHRHeading2"/>
    <w:uiPriority w:val="42"/>
    <w:semiHidden/>
    <w:qFormat/>
    <w:rsid w:val="006544C4"/>
    <w:pPr>
      <w:ind w:left="635" w:hanging="357"/>
      <w:outlineLvl w:val="2"/>
    </w:pPr>
  </w:style>
  <w:style w:type="paragraph" w:customStyle="1" w:styleId="OpiHa0">
    <w:name w:val="Opi_H_a"/>
    <w:basedOn w:val="ECHRHeading3"/>
    <w:uiPriority w:val="43"/>
    <w:semiHidden/>
    <w:qFormat/>
    <w:rsid w:val="006544C4"/>
    <w:pPr>
      <w:ind w:left="833" w:hanging="357"/>
      <w:outlineLvl w:val="3"/>
    </w:pPr>
    <w:rPr>
      <w:b/>
      <w:i w:val="0"/>
      <w:sz w:val="20"/>
    </w:rPr>
  </w:style>
  <w:style w:type="paragraph" w:customStyle="1" w:styleId="ECHRTitleCentre2">
    <w:name w:val="ECHR_Title_Centre_2"/>
    <w:aliases w:val="Dec_H_Case"/>
    <w:basedOn w:val="Normale"/>
    <w:next w:val="Normale"/>
    <w:link w:val="DecHCaseChar"/>
    <w:uiPriority w:val="8"/>
    <w:qFormat/>
    <w:rsid w:val="006544C4"/>
    <w:pPr>
      <w:spacing w:after="240"/>
      <w:jc w:val="center"/>
      <w:outlineLvl w:val="0"/>
    </w:pPr>
    <w:rPr>
      <w:rFonts w:asciiTheme="majorHAnsi" w:hAnsiTheme="majorHAnsi"/>
    </w:rPr>
  </w:style>
  <w:style w:type="character" w:styleId="Enfasicorsivo">
    <w:name w:val="Emphasis"/>
    <w:uiPriority w:val="99"/>
    <w:semiHidden/>
    <w:qFormat/>
    <w:rsid w:val="006544C4"/>
    <w:rPr>
      <w:b/>
      <w:bCs/>
      <w:i/>
      <w:iCs/>
      <w:spacing w:val="10"/>
      <w:bdr w:val="none" w:sz="0" w:space="0" w:color="auto"/>
      <w:shd w:val="clear" w:color="auto" w:fill="auto"/>
    </w:rPr>
  </w:style>
  <w:style w:type="paragraph" w:styleId="Pidipagina">
    <w:name w:val="footer"/>
    <w:basedOn w:val="Normale"/>
    <w:link w:val="PidipaginaCarattere"/>
    <w:uiPriority w:val="99"/>
    <w:semiHidden/>
    <w:rsid w:val="00941747"/>
    <w:pPr>
      <w:tabs>
        <w:tab w:val="center" w:pos="4536"/>
        <w:tab w:val="right" w:pos="9696"/>
      </w:tabs>
      <w:ind w:left="-680" w:right="-680"/>
    </w:pPr>
  </w:style>
  <w:style w:type="character" w:customStyle="1" w:styleId="PidipaginaCarattere">
    <w:name w:val="Piè di pagina Carattere"/>
    <w:basedOn w:val="Carpredefinitoparagrafo"/>
    <w:link w:val="Pidipagina"/>
    <w:uiPriority w:val="57"/>
    <w:semiHidden/>
    <w:rsid w:val="008D4752"/>
  </w:style>
  <w:style w:type="character" w:styleId="Rimandonotaapidipagina">
    <w:name w:val="footnote reference"/>
    <w:basedOn w:val="Carpredefinitoparagrafo"/>
    <w:semiHidden/>
    <w:rsid w:val="00941747"/>
    <w:rPr>
      <w:vertAlign w:val="superscript"/>
    </w:rPr>
  </w:style>
  <w:style w:type="paragraph" w:styleId="Testonotaapidipagina">
    <w:name w:val="footnote text"/>
    <w:basedOn w:val="Normale"/>
    <w:link w:val="TestonotaapidipaginaCarattere"/>
    <w:uiPriority w:val="99"/>
    <w:semiHidden/>
    <w:rsid w:val="00941747"/>
    <w:rPr>
      <w:sz w:val="20"/>
      <w:szCs w:val="20"/>
    </w:rPr>
  </w:style>
  <w:style w:type="character" w:customStyle="1" w:styleId="TestonotaapidipaginaCarattere">
    <w:name w:val="Testo nota a piè di pagina Carattere"/>
    <w:basedOn w:val="Carpredefinitoparagrafo"/>
    <w:link w:val="Testonotaapidipagina"/>
    <w:uiPriority w:val="99"/>
    <w:semiHidden/>
    <w:rsid w:val="00A671F8"/>
    <w:rPr>
      <w:rFonts w:eastAsiaTheme="minorEastAsia"/>
      <w:sz w:val="20"/>
      <w:szCs w:val="20"/>
    </w:rPr>
  </w:style>
  <w:style w:type="character" w:customStyle="1" w:styleId="Titolo6Carattere">
    <w:name w:val="Titolo 6 Carattere"/>
    <w:basedOn w:val="Carpredefinitoparagrafo"/>
    <w:link w:val="Titolo6"/>
    <w:uiPriority w:val="99"/>
    <w:semiHidden/>
    <w:rsid w:val="00A671F8"/>
    <w:rPr>
      <w:rFonts w:asciiTheme="majorHAnsi" w:eastAsiaTheme="majorEastAsia" w:hAnsiTheme="majorHAnsi" w:cstheme="majorBidi"/>
      <w:b/>
      <w:bCs/>
      <w:i/>
      <w:iCs/>
      <w:color w:val="7F7F7F" w:themeColor="text1" w:themeTint="80"/>
      <w:lang w:bidi="en-US"/>
    </w:rPr>
  </w:style>
  <w:style w:type="character" w:customStyle="1" w:styleId="Titolo7Carattere">
    <w:name w:val="Titolo 7 Carattere"/>
    <w:basedOn w:val="Carpredefinitoparagrafo"/>
    <w:link w:val="Titolo7"/>
    <w:uiPriority w:val="99"/>
    <w:semiHidden/>
    <w:rsid w:val="006544C4"/>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6544C4"/>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6544C4"/>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941747"/>
    <w:rPr>
      <w:color w:val="0072BC" w:themeColor="hyperlink"/>
      <w:u w:val="single"/>
    </w:rPr>
  </w:style>
  <w:style w:type="character" w:styleId="Enfasiintensa">
    <w:name w:val="Intense Emphasis"/>
    <w:uiPriority w:val="99"/>
    <w:semiHidden/>
    <w:qFormat/>
    <w:rsid w:val="006544C4"/>
    <w:rPr>
      <w:b/>
      <w:bCs/>
    </w:rPr>
  </w:style>
  <w:style w:type="paragraph" w:styleId="Citazioneintensa">
    <w:name w:val="Intense Quote"/>
    <w:basedOn w:val="Normale"/>
    <w:next w:val="Normale"/>
    <w:link w:val="CitazioneintensaCarattere"/>
    <w:uiPriority w:val="99"/>
    <w:semiHidden/>
    <w:qFormat/>
    <w:rsid w:val="006544C4"/>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6544C4"/>
    <w:rPr>
      <w:rFonts w:eastAsiaTheme="minorEastAsia"/>
      <w:b/>
      <w:bCs/>
      <w:i/>
      <w:iCs/>
      <w:lang w:bidi="en-US"/>
    </w:rPr>
  </w:style>
  <w:style w:type="character" w:styleId="Riferimentointenso">
    <w:name w:val="Intense Reference"/>
    <w:uiPriority w:val="99"/>
    <w:semiHidden/>
    <w:qFormat/>
    <w:rsid w:val="006544C4"/>
    <w:rPr>
      <w:smallCaps/>
      <w:spacing w:val="5"/>
      <w:u w:val="single"/>
    </w:rPr>
  </w:style>
  <w:style w:type="paragraph" w:styleId="Paragrafoelenco">
    <w:name w:val="List Paragraph"/>
    <w:basedOn w:val="Normale"/>
    <w:uiPriority w:val="99"/>
    <w:semiHidden/>
    <w:qFormat/>
    <w:rsid w:val="006544C4"/>
    <w:pPr>
      <w:ind w:left="720"/>
      <w:contextualSpacing/>
    </w:pPr>
  </w:style>
  <w:style w:type="table" w:customStyle="1" w:styleId="LtrTableAddress">
    <w:name w:val="Ltr_Table_Address"/>
    <w:basedOn w:val="Tabellanormale"/>
    <w:uiPriority w:val="99"/>
    <w:rsid w:val="001E6F32"/>
    <w:tblPr>
      <w:tblInd w:w="5103" w:type="dxa"/>
      <w:tblCellMar>
        <w:top w:w="0" w:type="dxa"/>
        <w:left w:w="108" w:type="dxa"/>
        <w:bottom w:w="0" w:type="dxa"/>
        <w:right w:w="108" w:type="dxa"/>
      </w:tblCellMar>
    </w:tblPr>
  </w:style>
  <w:style w:type="paragraph" w:styleId="Citazione">
    <w:name w:val="Quote"/>
    <w:basedOn w:val="Normale"/>
    <w:next w:val="Normale"/>
    <w:link w:val="CitazioneCarattere"/>
    <w:uiPriority w:val="99"/>
    <w:semiHidden/>
    <w:qFormat/>
    <w:rsid w:val="006544C4"/>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6544C4"/>
    <w:rPr>
      <w:rFonts w:eastAsiaTheme="minorEastAsia"/>
      <w:i/>
      <w:iCs/>
      <w:lang w:bidi="en-US"/>
    </w:rPr>
  </w:style>
  <w:style w:type="character" w:styleId="Riferimentodelicato">
    <w:name w:val="Subtle Reference"/>
    <w:uiPriority w:val="99"/>
    <w:semiHidden/>
    <w:qFormat/>
    <w:rsid w:val="006544C4"/>
    <w:rPr>
      <w:smallCaps/>
    </w:rPr>
  </w:style>
  <w:style w:type="table" w:styleId="Grigliatabella">
    <w:name w:val="Table Grid"/>
    <w:basedOn w:val="Tabellanormale"/>
    <w:uiPriority w:val="99"/>
    <w:semiHidden/>
    <w:rsid w:val="00941747"/>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mmario1">
    <w:name w:val="toc 1"/>
    <w:basedOn w:val="Normale"/>
    <w:next w:val="Normale"/>
    <w:autoRedefine/>
    <w:uiPriority w:val="99"/>
    <w:semiHidden/>
    <w:rsid w:val="00EA185E"/>
    <w:pPr>
      <w:spacing w:before="120" w:after="60"/>
      <w:ind w:left="340" w:right="340" w:hanging="340"/>
    </w:pPr>
    <w:rPr>
      <w:color w:val="0D0D0D" w:themeColor="text1" w:themeTint="F2"/>
    </w:rPr>
  </w:style>
  <w:style w:type="paragraph" w:styleId="Sommario2">
    <w:name w:val="toc 2"/>
    <w:basedOn w:val="Normale"/>
    <w:next w:val="Normale"/>
    <w:autoRedefine/>
    <w:uiPriority w:val="99"/>
    <w:semiHidden/>
    <w:rsid w:val="00EA185E"/>
    <w:pPr>
      <w:spacing w:after="60"/>
      <w:ind w:left="680" w:right="340" w:hanging="340"/>
    </w:pPr>
  </w:style>
  <w:style w:type="paragraph" w:styleId="Sommario3">
    <w:name w:val="toc 3"/>
    <w:basedOn w:val="Normale"/>
    <w:next w:val="Normale"/>
    <w:autoRedefine/>
    <w:uiPriority w:val="99"/>
    <w:semiHidden/>
    <w:rsid w:val="00EA185E"/>
    <w:pPr>
      <w:spacing w:after="60"/>
      <w:ind w:left="1020" w:right="340" w:hanging="340"/>
    </w:pPr>
  </w:style>
  <w:style w:type="paragraph" w:styleId="Sommario4">
    <w:name w:val="toc 4"/>
    <w:basedOn w:val="Normale"/>
    <w:next w:val="Normale"/>
    <w:autoRedefine/>
    <w:uiPriority w:val="99"/>
    <w:semiHidden/>
    <w:rsid w:val="00EA185E"/>
    <w:pPr>
      <w:tabs>
        <w:tab w:val="right" w:leader="dot" w:pos="9017"/>
      </w:tabs>
      <w:spacing w:after="60"/>
      <w:ind w:left="1361" w:right="340" w:hanging="340"/>
    </w:pPr>
  </w:style>
  <w:style w:type="paragraph" w:styleId="Sommario5">
    <w:name w:val="toc 5"/>
    <w:basedOn w:val="Normale"/>
    <w:next w:val="Normale"/>
    <w:autoRedefine/>
    <w:uiPriority w:val="99"/>
    <w:semiHidden/>
    <w:rsid w:val="00B46543"/>
    <w:pPr>
      <w:spacing w:after="60"/>
      <w:ind w:left="1701" w:right="340" w:hanging="340"/>
    </w:pPr>
  </w:style>
  <w:style w:type="paragraph" w:styleId="Titolosommario">
    <w:name w:val="TOC Heading"/>
    <w:basedOn w:val="Titolo1"/>
    <w:next w:val="Normale"/>
    <w:uiPriority w:val="99"/>
    <w:semiHidden/>
    <w:qFormat/>
    <w:rsid w:val="006544C4"/>
    <w:pPr>
      <w:outlineLvl w:val="9"/>
    </w:pPr>
    <w:rPr>
      <w:color w:val="474747" w:themeColor="accent3" w:themeShade="BF"/>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Tabellanormale"/>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C333A0"/>
    <w:pPr>
      <w:spacing w:before="120"/>
    </w:pPr>
    <w:rPr>
      <w:rFonts w:asciiTheme="majorHAnsi" w:eastAsiaTheme="majorEastAsia" w:hAnsiTheme="majorHAnsi" w:cstheme="majorBidi"/>
      <w:b/>
      <w:bCs/>
      <w:color w:val="474747" w:themeColor="accent3" w:themeShade="BF"/>
      <w:szCs w:val="24"/>
    </w:rPr>
  </w:style>
  <w:style w:type="paragraph" w:customStyle="1" w:styleId="OpiHi">
    <w:name w:val="Opi_H_i"/>
    <w:basedOn w:val="ECHRHeading4"/>
    <w:uiPriority w:val="44"/>
    <w:semiHidden/>
    <w:qFormat/>
    <w:rsid w:val="006544C4"/>
    <w:pPr>
      <w:ind w:left="1037" w:hanging="357"/>
      <w:outlineLvl w:val="4"/>
    </w:pPr>
    <w:rPr>
      <w:b w:val="0"/>
      <w:i/>
    </w:rPr>
  </w:style>
  <w:style w:type="paragraph" w:customStyle="1" w:styleId="DummyStyle">
    <w:name w:val="Dummy_Style"/>
    <w:basedOn w:val="Normale"/>
    <w:semiHidden/>
    <w:qFormat/>
    <w:rsid w:val="006544C4"/>
    <w:rPr>
      <w:color w:val="00B050"/>
      <w:lang w:bidi="en-US"/>
    </w:rPr>
  </w:style>
  <w:style w:type="paragraph" w:styleId="Sottotitolo">
    <w:name w:val="Subtitle"/>
    <w:basedOn w:val="Normale"/>
    <w:next w:val="Normale"/>
    <w:link w:val="SottotitoloCarattere"/>
    <w:uiPriority w:val="99"/>
    <w:semiHidden/>
    <w:qFormat/>
    <w:rsid w:val="006544C4"/>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Para"/>
    <w:basedOn w:val="Normale"/>
    <w:link w:val="ECHRParaChar"/>
    <w:qFormat/>
    <w:rsid w:val="004047FE"/>
    <w:pPr>
      <w:ind w:firstLine="284"/>
    </w:pPr>
  </w:style>
  <w:style w:type="character" w:customStyle="1" w:styleId="SottotitoloCarattere">
    <w:name w:val="Sottotitolo Carattere"/>
    <w:basedOn w:val="Carpredefinitoparagrafo"/>
    <w:link w:val="Sottotitolo"/>
    <w:uiPriority w:val="99"/>
    <w:semiHidden/>
    <w:rsid w:val="006544C4"/>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ellanormale"/>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Tabellanormale"/>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6544C4"/>
    <w:pPr>
      <w:numPr>
        <w:numId w:val="12"/>
      </w:numPr>
    </w:p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520BAA"/>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semiHidden/>
    <w:unhideWhenUsed/>
    <w:rsid w:val="006544C4"/>
    <w:pPr>
      <w:numPr>
        <w:numId w:val="13"/>
      </w:numPr>
    </w:pPr>
  </w:style>
  <w:style w:type="numbering" w:styleId="ArticoloSezione">
    <w:name w:val="Outline List 3"/>
    <w:basedOn w:val="Nessunelenco"/>
    <w:uiPriority w:val="99"/>
    <w:semiHidden/>
    <w:unhideWhenUsed/>
    <w:rsid w:val="006544C4"/>
    <w:pPr>
      <w:numPr>
        <w:numId w:val="14"/>
      </w:numPr>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9"/>
    <w:semiHidden/>
    <w:rsid w:val="006544C4"/>
  </w:style>
  <w:style w:type="paragraph" w:styleId="Testodelblocco">
    <w:name w:val="Block Text"/>
    <w:basedOn w:val="Normale"/>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ellanormale"/>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semiHidden/>
    <w:rsid w:val="006544C4"/>
    <w:pPr>
      <w:spacing w:after="120"/>
    </w:pPr>
  </w:style>
  <w:style w:type="table" w:customStyle="1" w:styleId="ECHRHeaderTableReduced">
    <w:name w:val="ECHR_Header_Table_Reduced"/>
    <w:basedOn w:val="Tabellanormale"/>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basedOn w:val="Carpredefinitoparagrafo"/>
    <w:uiPriority w:val="99"/>
    <w:semiHidden/>
    <w:qFormat/>
    <w:rsid w:val="006544C4"/>
    <w:rPr>
      <w:rFonts w:ascii="Times New Roman" w:hAnsi="Times New Roman" w:cs="Times New Roman"/>
      <w:sz w:val="18"/>
    </w:rPr>
  </w:style>
  <w:style w:type="character" w:styleId="Rimandocommento">
    <w:name w:val="annotation reference"/>
    <w:basedOn w:val="Carpredefinitoparagrafo"/>
    <w:semiHidden/>
    <w:rsid w:val="006544C4"/>
    <w:rPr>
      <w:sz w:val="16"/>
    </w:rPr>
  </w:style>
  <w:style w:type="paragraph" w:styleId="Testocommento">
    <w:name w:val="annotation text"/>
    <w:basedOn w:val="Normale"/>
    <w:link w:val="TestocommentoCarattere"/>
    <w:semiHidden/>
    <w:rsid w:val="006544C4"/>
    <w:rPr>
      <w:sz w:val="20"/>
    </w:rPr>
  </w:style>
  <w:style w:type="character" w:customStyle="1" w:styleId="TestocommentoCarattere">
    <w:name w:val="Testo commento Carattere"/>
    <w:basedOn w:val="Carpredefinitoparagrafo"/>
    <w:link w:val="Testocommento"/>
    <w:uiPriority w:val="99"/>
    <w:semiHidden/>
    <w:rsid w:val="006544C4"/>
    <w:rPr>
      <w:rFonts w:eastAsiaTheme="minorEastAsia"/>
      <w:sz w:val="20"/>
    </w:rPr>
  </w:style>
  <w:style w:type="paragraph" w:customStyle="1" w:styleId="JuSigned">
    <w:name w:val="Ju_Signed"/>
    <w:basedOn w:val="Normale"/>
    <w:next w:val="JuParaLast"/>
    <w:link w:val="JuSignedChar"/>
    <w:uiPriority w:val="32"/>
    <w:qFormat/>
    <w:rsid w:val="006544C4"/>
    <w:pPr>
      <w:tabs>
        <w:tab w:val="center" w:pos="851"/>
        <w:tab w:val="center" w:pos="6407"/>
      </w:tabs>
      <w:spacing w:before="720"/>
      <w:jc w:val="left"/>
    </w:pPr>
  </w:style>
  <w:style w:type="paragraph" w:customStyle="1" w:styleId="JuTitle">
    <w:name w:val="Ju_Title"/>
    <w:basedOn w:val="Normale"/>
    <w:next w:val="Normale"/>
    <w:link w:val="JuTitleChar"/>
    <w:qFormat/>
    <w:rsid w:val="006544C4"/>
    <w:pPr>
      <w:spacing w:before="720" w:after="240"/>
      <w:jc w:val="center"/>
      <w:outlineLvl w:val="0"/>
    </w:pPr>
    <w:rPr>
      <w:rFonts w:asciiTheme="majorHAnsi" w:hAnsiTheme="majorHAnsi"/>
      <w:b/>
      <w:caps/>
    </w:rPr>
  </w:style>
  <w:style w:type="paragraph" w:customStyle="1" w:styleId="DecHTitle">
    <w:name w:val="Dec_H_Title"/>
    <w:basedOn w:val="ECHRTitleCentre1"/>
    <w:link w:val="DecHTitleChar"/>
    <w:uiPriority w:val="7"/>
    <w:qFormat/>
    <w:rsid w:val="006544C4"/>
  </w:style>
  <w:style w:type="paragraph" w:styleId="Puntoelenco2">
    <w:name w:val="List Bullet 2"/>
    <w:basedOn w:val="Normale"/>
    <w:uiPriority w:val="99"/>
    <w:semiHidden/>
    <w:rsid w:val="006544C4"/>
    <w:pPr>
      <w:numPr>
        <w:numId w:val="8"/>
      </w:numPr>
      <w:contextualSpacing/>
    </w:pPr>
  </w:style>
  <w:style w:type="paragraph" w:styleId="Puntoelenco3">
    <w:name w:val="List Bullet 3"/>
    <w:basedOn w:val="Normale"/>
    <w:semiHidden/>
    <w:rsid w:val="006544C4"/>
    <w:pPr>
      <w:numPr>
        <w:numId w:val="9"/>
      </w:numPr>
      <w:contextualSpacing/>
    </w:pPr>
  </w:style>
  <w:style w:type="character" w:customStyle="1" w:styleId="CorpotestoCarattere">
    <w:name w:val="Corpo testo Carattere"/>
    <w:basedOn w:val="Carpredefinitoparagrafo"/>
    <w:link w:val="Corpotesto"/>
    <w:rsid w:val="006544C4"/>
    <w:rPr>
      <w:rFonts w:eastAsiaTheme="minorEastAsia"/>
      <w:sz w:val="24"/>
    </w:rPr>
  </w:style>
  <w:style w:type="paragraph" w:styleId="Corpodeltesto2">
    <w:name w:val="Body Text 2"/>
    <w:basedOn w:val="Normale"/>
    <w:link w:val="Corpodeltesto2Carattere"/>
    <w:uiPriority w:val="99"/>
    <w:semiHidden/>
    <w:rsid w:val="006544C4"/>
    <w:pPr>
      <w:spacing w:after="120" w:line="480" w:lineRule="auto"/>
    </w:pPr>
  </w:style>
  <w:style w:type="character" w:customStyle="1" w:styleId="Corpodeltesto2Carattere">
    <w:name w:val="Corpo del testo 2 Carattere"/>
    <w:basedOn w:val="Carpredefinitoparagrafo"/>
    <w:link w:val="Corpodeltesto2"/>
    <w:rsid w:val="006544C4"/>
    <w:rPr>
      <w:rFonts w:eastAsiaTheme="minorEastAsia"/>
      <w:sz w:val="24"/>
    </w:rPr>
  </w:style>
  <w:style w:type="paragraph" w:styleId="Corpodeltesto3">
    <w:name w:val="Body Text 3"/>
    <w:basedOn w:val="Normale"/>
    <w:link w:val="Corpodeltesto3Carattere"/>
    <w:uiPriority w:val="99"/>
    <w:semiHidden/>
    <w:rsid w:val="006544C4"/>
    <w:pPr>
      <w:spacing w:after="120"/>
    </w:pPr>
    <w:rPr>
      <w:sz w:val="16"/>
      <w:szCs w:val="16"/>
    </w:rPr>
  </w:style>
  <w:style w:type="character" w:customStyle="1" w:styleId="Corpodeltesto3Carattere">
    <w:name w:val="Corpo del testo 3 Carattere"/>
    <w:basedOn w:val="Carpredefinitoparagrafo"/>
    <w:link w:val="Corpodeltesto3"/>
    <w:rsid w:val="006544C4"/>
    <w:rPr>
      <w:rFonts w:eastAsiaTheme="minorEastAsia"/>
      <w:sz w:val="16"/>
      <w:szCs w:val="16"/>
    </w:rPr>
  </w:style>
  <w:style w:type="paragraph" w:styleId="Primorientrocorpodeltesto">
    <w:name w:val="Body Text First Indent"/>
    <w:basedOn w:val="Corpotesto"/>
    <w:link w:val="PrimorientrocorpodeltestoCarattere"/>
    <w:uiPriority w:val="99"/>
    <w:semiHidden/>
    <w:rsid w:val="006544C4"/>
    <w:pPr>
      <w:spacing w:after="0"/>
      <w:ind w:firstLine="360"/>
    </w:pPr>
  </w:style>
  <w:style w:type="character" w:customStyle="1" w:styleId="PrimorientrocorpodeltestoCarattere">
    <w:name w:val="Primo rientro corpo del testo Carattere"/>
    <w:basedOn w:val="CorpotestoCarattere"/>
    <w:link w:val="Primorientrocorpodeltesto"/>
    <w:rsid w:val="006544C4"/>
    <w:rPr>
      <w:rFonts w:eastAsiaTheme="minorEastAsia"/>
      <w:sz w:val="24"/>
    </w:rPr>
  </w:style>
  <w:style w:type="paragraph" w:styleId="Rientrocorpodeltesto">
    <w:name w:val="Body Text Indent"/>
    <w:basedOn w:val="Normale"/>
    <w:link w:val="RientrocorpodeltestoCarattere"/>
    <w:uiPriority w:val="99"/>
    <w:semiHidden/>
    <w:rsid w:val="006544C4"/>
    <w:pPr>
      <w:spacing w:after="120"/>
      <w:ind w:left="283"/>
    </w:pPr>
  </w:style>
  <w:style w:type="character" w:customStyle="1" w:styleId="RientrocorpodeltestoCarattere">
    <w:name w:val="Rientro corpo del testo Carattere"/>
    <w:basedOn w:val="Carpredefinitoparagrafo"/>
    <w:link w:val="Rientrocorpodeltesto"/>
    <w:rsid w:val="006544C4"/>
    <w:rPr>
      <w:rFonts w:eastAsiaTheme="minorEastAsia"/>
      <w:sz w:val="24"/>
    </w:rPr>
  </w:style>
  <w:style w:type="paragraph" w:styleId="Primorientrocorpodeltesto2">
    <w:name w:val="Body Text First Indent 2"/>
    <w:basedOn w:val="Rientrocorpodeltesto"/>
    <w:link w:val="Primorientrocorpodeltesto2Carattere"/>
    <w:semiHidden/>
    <w:rsid w:val="006544C4"/>
    <w:pPr>
      <w:spacing w:after="0"/>
      <w:ind w:left="360" w:firstLine="360"/>
    </w:pPr>
  </w:style>
  <w:style w:type="character" w:customStyle="1" w:styleId="Primorientrocorpodeltesto2Carattere">
    <w:name w:val="Primo rientro corpo del testo 2 Carattere"/>
    <w:basedOn w:val="RientrocorpodeltestoCarattere"/>
    <w:link w:val="Primorientrocorpodeltesto2"/>
    <w:rsid w:val="006544C4"/>
    <w:rPr>
      <w:rFonts w:eastAsiaTheme="minorEastAsia"/>
      <w:sz w:val="24"/>
    </w:rPr>
  </w:style>
  <w:style w:type="paragraph" w:styleId="Rientrocorpodeltesto2">
    <w:name w:val="Body Text Indent 2"/>
    <w:basedOn w:val="Normale"/>
    <w:link w:val="Rientrocorpodeltesto2Carattere"/>
    <w:semiHidden/>
    <w:rsid w:val="006544C4"/>
    <w:pPr>
      <w:spacing w:after="120" w:line="480" w:lineRule="auto"/>
      <w:ind w:left="283"/>
    </w:pPr>
  </w:style>
  <w:style w:type="character" w:customStyle="1" w:styleId="Rientrocorpodeltesto2Carattere">
    <w:name w:val="Rientro corpo del testo 2 Carattere"/>
    <w:basedOn w:val="Carpredefinitoparagrafo"/>
    <w:link w:val="Rientrocorpodeltesto2"/>
    <w:rsid w:val="006544C4"/>
    <w:rPr>
      <w:rFonts w:eastAsiaTheme="minorEastAsia"/>
      <w:sz w:val="24"/>
    </w:rPr>
  </w:style>
  <w:style w:type="paragraph" w:styleId="Rientrocorpodeltesto3">
    <w:name w:val="Body Text Indent 3"/>
    <w:basedOn w:val="Normale"/>
    <w:link w:val="Rientrocorpodeltesto3Carattere"/>
    <w:uiPriority w:val="99"/>
    <w:semiHidden/>
    <w:rsid w:val="006544C4"/>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6544C4"/>
    <w:rPr>
      <w:rFonts w:eastAsiaTheme="minorEastAsia"/>
      <w:sz w:val="16"/>
      <w:szCs w:val="16"/>
    </w:rPr>
  </w:style>
  <w:style w:type="paragraph" w:styleId="Didascalia">
    <w:name w:val="caption"/>
    <w:basedOn w:val="Normale"/>
    <w:next w:val="Normale"/>
    <w:uiPriority w:val="99"/>
    <w:semiHidden/>
    <w:qFormat/>
    <w:rsid w:val="006544C4"/>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6544C4"/>
    <w:pPr>
      <w:ind w:left="4252"/>
    </w:pPr>
  </w:style>
  <w:style w:type="character" w:customStyle="1" w:styleId="FormuladichiusuraCarattere">
    <w:name w:val="Formula di chiusura Carattere"/>
    <w:basedOn w:val="Carpredefinitoparagrafo"/>
    <w:link w:val="Formuladichiusura"/>
    <w:rsid w:val="006544C4"/>
    <w:rPr>
      <w:rFonts w:eastAsiaTheme="minorEastAsia"/>
      <w:sz w:val="24"/>
    </w:rPr>
  </w:style>
  <w:style w:type="table" w:styleId="Grigliaacolori">
    <w:name w:val="Colorful Grid"/>
    <w:basedOn w:val="Tabellanormale"/>
    <w:uiPriority w:val="99"/>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6544C4"/>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6544C4"/>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6544C4"/>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6544C4"/>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6544C4"/>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6544C4"/>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6544C4"/>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semiHidden/>
    <w:rsid w:val="006544C4"/>
    <w:rPr>
      <w:b/>
      <w:bCs/>
      <w:szCs w:val="20"/>
    </w:rPr>
  </w:style>
  <w:style w:type="character" w:customStyle="1" w:styleId="SoggettocommentoCarattere">
    <w:name w:val="Soggetto commento Carattere"/>
    <w:basedOn w:val="TestocommentoCarattere"/>
    <w:link w:val="Soggettocommento"/>
    <w:uiPriority w:val="99"/>
    <w:semiHidden/>
    <w:rsid w:val="006544C4"/>
    <w:rPr>
      <w:rFonts w:eastAsiaTheme="minorEastAsia"/>
      <w:b/>
      <w:bCs/>
      <w:sz w:val="20"/>
      <w:szCs w:val="20"/>
    </w:rPr>
  </w:style>
  <w:style w:type="table" w:styleId="Elencoscuro">
    <w:name w:val="Dark List"/>
    <w:basedOn w:val="Tabellanormale"/>
    <w:uiPriority w:val="99"/>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6544C4"/>
  </w:style>
  <w:style w:type="character" w:customStyle="1" w:styleId="DataCarattere">
    <w:name w:val="Data Carattere"/>
    <w:basedOn w:val="Carpredefinitoparagrafo"/>
    <w:link w:val="Data"/>
    <w:rsid w:val="006544C4"/>
    <w:rPr>
      <w:rFonts w:eastAsiaTheme="minorEastAsia"/>
      <w:sz w:val="24"/>
    </w:rPr>
  </w:style>
  <w:style w:type="paragraph" w:styleId="Mappadocumento">
    <w:name w:val="Document Map"/>
    <w:basedOn w:val="Normale"/>
    <w:link w:val="MappadocumentoCarattere"/>
    <w:semiHidden/>
    <w:rsid w:val="006544C4"/>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6544C4"/>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6544C4"/>
  </w:style>
  <w:style w:type="character" w:customStyle="1" w:styleId="FirmadipostaelettronicaCarattere">
    <w:name w:val="Firma di posta elettronica Carattere"/>
    <w:basedOn w:val="Carpredefinitoparagrafo"/>
    <w:link w:val="Firmadipostaelettronica"/>
    <w:rsid w:val="006544C4"/>
    <w:rPr>
      <w:rFonts w:eastAsiaTheme="minorEastAsia"/>
      <w:sz w:val="24"/>
    </w:rPr>
  </w:style>
  <w:style w:type="character" w:styleId="Rimandonotadichiusura">
    <w:name w:val="endnote reference"/>
    <w:basedOn w:val="Carpredefinitoparagrafo"/>
    <w:semiHidden/>
    <w:rsid w:val="006544C4"/>
    <w:rPr>
      <w:vertAlign w:val="superscript"/>
    </w:rPr>
  </w:style>
  <w:style w:type="paragraph" w:styleId="Testonotadichiusura">
    <w:name w:val="endnote text"/>
    <w:basedOn w:val="Normale"/>
    <w:link w:val="TestonotadichiusuraCarattere"/>
    <w:uiPriority w:val="99"/>
    <w:semiHidden/>
    <w:rsid w:val="006544C4"/>
    <w:rPr>
      <w:sz w:val="20"/>
      <w:szCs w:val="20"/>
    </w:rPr>
  </w:style>
  <w:style w:type="character" w:customStyle="1" w:styleId="TestonotadichiusuraCarattere">
    <w:name w:val="Testo nota di chiusura Carattere"/>
    <w:basedOn w:val="Carpredefinitoparagrafo"/>
    <w:link w:val="Testonotadichiusura"/>
    <w:uiPriority w:val="99"/>
    <w:semiHidden/>
    <w:rsid w:val="006544C4"/>
    <w:rPr>
      <w:rFonts w:eastAsiaTheme="minorEastAsia"/>
      <w:sz w:val="20"/>
      <w:szCs w:val="20"/>
    </w:rPr>
  </w:style>
  <w:style w:type="paragraph" w:styleId="Indirizzodestinatario">
    <w:name w:val="envelope address"/>
    <w:basedOn w:val="Normale"/>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semiHidden/>
    <w:rsid w:val="006544C4"/>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6544C4"/>
    <w:rPr>
      <w:color w:val="7030A0" w:themeColor="followedHyperlink"/>
      <w:u w:val="single"/>
    </w:rPr>
  </w:style>
  <w:style w:type="character" w:styleId="AcronimoHTML">
    <w:name w:val="HTML Acronym"/>
    <w:basedOn w:val="Carpredefinitoparagrafo"/>
    <w:uiPriority w:val="99"/>
    <w:semiHidden/>
    <w:rsid w:val="006544C4"/>
  </w:style>
  <w:style w:type="paragraph" w:styleId="IndirizzoHTML">
    <w:name w:val="HTML Address"/>
    <w:basedOn w:val="Normale"/>
    <w:link w:val="IndirizzoHTMLCarattere"/>
    <w:semiHidden/>
    <w:rsid w:val="006544C4"/>
    <w:rPr>
      <w:i/>
      <w:iCs/>
    </w:rPr>
  </w:style>
  <w:style w:type="character" w:customStyle="1" w:styleId="IndirizzoHTMLCarattere">
    <w:name w:val="Indirizzo HTML Carattere"/>
    <w:basedOn w:val="Carpredefinitoparagrafo"/>
    <w:link w:val="IndirizzoHTML"/>
    <w:rsid w:val="006544C4"/>
    <w:rPr>
      <w:rFonts w:eastAsiaTheme="minorEastAsia"/>
      <w:i/>
      <w:iCs/>
      <w:sz w:val="24"/>
    </w:rPr>
  </w:style>
  <w:style w:type="character" w:styleId="CitazioneHTML">
    <w:name w:val="HTML Cite"/>
    <w:basedOn w:val="Carpredefinitoparagrafo"/>
    <w:uiPriority w:val="99"/>
    <w:semiHidden/>
    <w:rsid w:val="006544C4"/>
    <w:rPr>
      <w:i/>
      <w:iCs/>
    </w:rPr>
  </w:style>
  <w:style w:type="character" w:styleId="CodiceHTML">
    <w:name w:val="HTML Code"/>
    <w:basedOn w:val="Carpredefinitoparagrafo"/>
    <w:uiPriority w:val="99"/>
    <w:semiHidden/>
    <w:rsid w:val="006544C4"/>
    <w:rPr>
      <w:rFonts w:ascii="Consolas" w:hAnsi="Consolas" w:cs="Consolas"/>
      <w:sz w:val="20"/>
      <w:szCs w:val="20"/>
    </w:rPr>
  </w:style>
  <w:style w:type="character" w:styleId="DefinizioneHTML">
    <w:name w:val="HTML Definition"/>
    <w:basedOn w:val="Carpredefinitoparagrafo"/>
    <w:uiPriority w:val="99"/>
    <w:semiHidden/>
    <w:rsid w:val="006544C4"/>
    <w:rPr>
      <w:i/>
      <w:iCs/>
    </w:rPr>
  </w:style>
  <w:style w:type="character" w:styleId="TastieraHTML">
    <w:name w:val="HTML Keyboard"/>
    <w:basedOn w:val="Carpredefinitoparagrafo"/>
    <w:semiHidden/>
    <w:rsid w:val="006544C4"/>
    <w:rPr>
      <w:rFonts w:ascii="Consolas" w:hAnsi="Consolas" w:cs="Consolas"/>
      <w:sz w:val="20"/>
      <w:szCs w:val="20"/>
    </w:rPr>
  </w:style>
  <w:style w:type="paragraph" w:styleId="PreformattatoHTML">
    <w:name w:val="HTML Preformatted"/>
    <w:basedOn w:val="Normale"/>
    <w:link w:val="PreformattatoHTMLCarattere"/>
    <w:uiPriority w:val="99"/>
    <w:semiHidden/>
    <w:rsid w:val="006544C4"/>
    <w:rPr>
      <w:rFonts w:ascii="Consolas" w:hAnsi="Consolas" w:cs="Consolas"/>
      <w:sz w:val="20"/>
      <w:szCs w:val="20"/>
    </w:rPr>
  </w:style>
  <w:style w:type="character" w:customStyle="1" w:styleId="PreformattatoHTMLCarattere">
    <w:name w:val="Preformattato HTML Carattere"/>
    <w:basedOn w:val="Carpredefinitoparagrafo"/>
    <w:link w:val="PreformattatoHTML"/>
    <w:rsid w:val="006544C4"/>
    <w:rPr>
      <w:rFonts w:ascii="Consolas" w:eastAsiaTheme="minorEastAsia" w:hAnsi="Consolas" w:cs="Consolas"/>
      <w:sz w:val="20"/>
      <w:szCs w:val="20"/>
    </w:rPr>
  </w:style>
  <w:style w:type="character" w:styleId="EsempioHTML">
    <w:name w:val="HTML Sample"/>
    <w:basedOn w:val="Carpredefinitoparagrafo"/>
    <w:semiHidden/>
    <w:rsid w:val="006544C4"/>
    <w:rPr>
      <w:rFonts w:ascii="Consolas" w:hAnsi="Consolas" w:cs="Consolas"/>
      <w:sz w:val="24"/>
      <w:szCs w:val="24"/>
    </w:rPr>
  </w:style>
  <w:style w:type="character" w:styleId="MacchinadascrivereHTML">
    <w:name w:val="HTML Typewriter"/>
    <w:basedOn w:val="Carpredefinitoparagrafo"/>
    <w:uiPriority w:val="99"/>
    <w:semiHidden/>
    <w:rsid w:val="006544C4"/>
    <w:rPr>
      <w:rFonts w:ascii="Consolas" w:hAnsi="Consolas" w:cs="Consolas"/>
      <w:sz w:val="20"/>
      <w:szCs w:val="20"/>
    </w:rPr>
  </w:style>
  <w:style w:type="character" w:styleId="VariabileHTML">
    <w:name w:val="HTML Variable"/>
    <w:basedOn w:val="Carpredefinitoparagrafo"/>
    <w:semiHidden/>
    <w:rsid w:val="006544C4"/>
    <w:rPr>
      <w:i/>
      <w:iCs/>
    </w:rPr>
  </w:style>
  <w:style w:type="paragraph" w:styleId="Indice1">
    <w:name w:val="index 1"/>
    <w:basedOn w:val="Normale"/>
    <w:next w:val="Normale"/>
    <w:autoRedefine/>
    <w:uiPriority w:val="99"/>
    <w:semiHidden/>
    <w:rsid w:val="006544C4"/>
    <w:pPr>
      <w:ind w:left="240" w:hanging="240"/>
    </w:pPr>
  </w:style>
  <w:style w:type="paragraph" w:styleId="Indice2">
    <w:name w:val="index 2"/>
    <w:basedOn w:val="Normale"/>
    <w:next w:val="Normale"/>
    <w:autoRedefine/>
    <w:semiHidden/>
    <w:rsid w:val="006544C4"/>
    <w:pPr>
      <w:ind w:left="480" w:hanging="240"/>
    </w:pPr>
  </w:style>
  <w:style w:type="paragraph" w:styleId="Indice3">
    <w:name w:val="index 3"/>
    <w:basedOn w:val="Normale"/>
    <w:next w:val="Normale"/>
    <w:autoRedefine/>
    <w:uiPriority w:val="99"/>
    <w:semiHidden/>
    <w:rsid w:val="006544C4"/>
    <w:pPr>
      <w:ind w:left="720" w:hanging="240"/>
    </w:pPr>
  </w:style>
  <w:style w:type="paragraph" w:styleId="Indice4">
    <w:name w:val="index 4"/>
    <w:basedOn w:val="Normale"/>
    <w:next w:val="Normale"/>
    <w:autoRedefine/>
    <w:uiPriority w:val="99"/>
    <w:semiHidden/>
    <w:rsid w:val="006544C4"/>
    <w:pPr>
      <w:ind w:left="960" w:hanging="240"/>
    </w:pPr>
  </w:style>
  <w:style w:type="paragraph" w:styleId="Indice5">
    <w:name w:val="index 5"/>
    <w:basedOn w:val="Normale"/>
    <w:next w:val="Normale"/>
    <w:autoRedefine/>
    <w:uiPriority w:val="99"/>
    <w:semiHidden/>
    <w:rsid w:val="006544C4"/>
    <w:pPr>
      <w:ind w:left="1200" w:hanging="240"/>
    </w:pPr>
  </w:style>
  <w:style w:type="paragraph" w:styleId="Indice6">
    <w:name w:val="index 6"/>
    <w:basedOn w:val="Normale"/>
    <w:next w:val="Normale"/>
    <w:autoRedefine/>
    <w:semiHidden/>
    <w:rsid w:val="006544C4"/>
    <w:pPr>
      <w:ind w:left="1440" w:hanging="240"/>
    </w:pPr>
  </w:style>
  <w:style w:type="paragraph" w:styleId="Indice7">
    <w:name w:val="index 7"/>
    <w:basedOn w:val="Normale"/>
    <w:next w:val="Normale"/>
    <w:autoRedefine/>
    <w:uiPriority w:val="99"/>
    <w:semiHidden/>
    <w:rsid w:val="006544C4"/>
    <w:pPr>
      <w:ind w:left="1680" w:hanging="240"/>
    </w:pPr>
  </w:style>
  <w:style w:type="paragraph" w:styleId="Indice8">
    <w:name w:val="index 8"/>
    <w:basedOn w:val="Normale"/>
    <w:next w:val="Normale"/>
    <w:autoRedefine/>
    <w:semiHidden/>
    <w:rsid w:val="006544C4"/>
    <w:pPr>
      <w:ind w:left="1920" w:hanging="240"/>
    </w:pPr>
  </w:style>
  <w:style w:type="paragraph" w:styleId="Indice9">
    <w:name w:val="index 9"/>
    <w:basedOn w:val="Normale"/>
    <w:next w:val="Normale"/>
    <w:autoRedefine/>
    <w:uiPriority w:val="99"/>
    <w:semiHidden/>
    <w:rsid w:val="006544C4"/>
    <w:pPr>
      <w:ind w:left="2160" w:hanging="240"/>
    </w:pPr>
  </w:style>
  <w:style w:type="paragraph" w:styleId="Titoloindice">
    <w:name w:val="index heading"/>
    <w:basedOn w:val="Normale"/>
    <w:next w:val="Indice1"/>
    <w:semiHidden/>
    <w:rsid w:val="006544C4"/>
    <w:rPr>
      <w:rFonts w:asciiTheme="majorHAnsi" w:eastAsiaTheme="majorEastAsia" w:hAnsiTheme="majorHAnsi" w:cstheme="majorBidi"/>
      <w:b/>
      <w:bCs/>
    </w:rPr>
  </w:style>
  <w:style w:type="table" w:styleId="Grigliachiara">
    <w:name w:val="Light Grid"/>
    <w:basedOn w:val="Tabellanormale"/>
    <w:uiPriority w:val="99"/>
    <w:semiHidden/>
    <w:rsid w:val="006544C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6544C4"/>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6544C4"/>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6544C4"/>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6544C4"/>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6544C4"/>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6544C4"/>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6544C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6544C4"/>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6544C4"/>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6544C4"/>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6544C4"/>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6544C4"/>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6544C4"/>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6544C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6544C4"/>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6544C4"/>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6544C4"/>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6544C4"/>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6544C4"/>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6544C4"/>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semiHidden/>
    <w:rsid w:val="006544C4"/>
  </w:style>
  <w:style w:type="paragraph" w:styleId="Elenco">
    <w:name w:val="List"/>
    <w:basedOn w:val="Normale"/>
    <w:uiPriority w:val="99"/>
    <w:semiHidden/>
    <w:rsid w:val="006544C4"/>
    <w:pPr>
      <w:ind w:left="283" w:hanging="283"/>
      <w:contextualSpacing/>
    </w:pPr>
  </w:style>
  <w:style w:type="paragraph" w:styleId="Elenco2">
    <w:name w:val="List 2"/>
    <w:basedOn w:val="Normale"/>
    <w:semiHidden/>
    <w:rsid w:val="006544C4"/>
    <w:pPr>
      <w:ind w:left="566" w:hanging="283"/>
      <w:contextualSpacing/>
    </w:pPr>
  </w:style>
  <w:style w:type="paragraph" w:styleId="Elenco3">
    <w:name w:val="List 3"/>
    <w:basedOn w:val="Normale"/>
    <w:uiPriority w:val="99"/>
    <w:semiHidden/>
    <w:rsid w:val="006544C4"/>
    <w:pPr>
      <w:ind w:left="849" w:hanging="283"/>
      <w:contextualSpacing/>
    </w:pPr>
  </w:style>
  <w:style w:type="paragraph" w:styleId="Elenco4">
    <w:name w:val="List 4"/>
    <w:basedOn w:val="Normale"/>
    <w:semiHidden/>
    <w:rsid w:val="006544C4"/>
    <w:pPr>
      <w:ind w:left="1132" w:hanging="283"/>
      <w:contextualSpacing/>
    </w:pPr>
  </w:style>
  <w:style w:type="paragraph" w:styleId="Elenco5">
    <w:name w:val="List 5"/>
    <w:basedOn w:val="Normale"/>
    <w:uiPriority w:val="99"/>
    <w:semiHidden/>
    <w:rsid w:val="006544C4"/>
    <w:pPr>
      <w:ind w:left="1415" w:hanging="283"/>
      <w:contextualSpacing/>
    </w:pPr>
  </w:style>
  <w:style w:type="paragraph" w:styleId="Puntoelenco">
    <w:name w:val="List Bullet"/>
    <w:basedOn w:val="Normale"/>
    <w:uiPriority w:val="99"/>
    <w:semiHidden/>
    <w:rsid w:val="006544C4"/>
    <w:pPr>
      <w:numPr>
        <w:numId w:val="15"/>
      </w:numPr>
      <w:contextualSpacing/>
    </w:pPr>
  </w:style>
  <w:style w:type="paragraph" w:styleId="Puntoelenco4">
    <w:name w:val="List Bullet 4"/>
    <w:basedOn w:val="Normale"/>
    <w:uiPriority w:val="99"/>
    <w:semiHidden/>
    <w:rsid w:val="006544C4"/>
    <w:pPr>
      <w:numPr>
        <w:numId w:val="16"/>
      </w:numPr>
      <w:contextualSpacing/>
    </w:pPr>
  </w:style>
  <w:style w:type="paragraph" w:styleId="Puntoelenco5">
    <w:name w:val="List Bullet 5"/>
    <w:basedOn w:val="Normale"/>
    <w:semiHidden/>
    <w:rsid w:val="006544C4"/>
    <w:pPr>
      <w:numPr>
        <w:numId w:val="17"/>
      </w:numPr>
      <w:contextualSpacing/>
    </w:pPr>
  </w:style>
  <w:style w:type="paragraph" w:styleId="Elencocontinua">
    <w:name w:val="List Continue"/>
    <w:basedOn w:val="Normale"/>
    <w:uiPriority w:val="99"/>
    <w:semiHidden/>
    <w:rsid w:val="006544C4"/>
    <w:pPr>
      <w:spacing w:after="120"/>
      <w:ind w:left="283"/>
      <w:contextualSpacing/>
    </w:pPr>
  </w:style>
  <w:style w:type="paragraph" w:styleId="Elencocontinua2">
    <w:name w:val="List Continue 2"/>
    <w:basedOn w:val="Normale"/>
    <w:semiHidden/>
    <w:rsid w:val="006544C4"/>
    <w:pPr>
      <w:spacing w:after="120"/>
      <w:ind w:left="566"/>
      <w:contextualSpacing/>
    </w:pPr>
  </w:style>
  <w:style w:type="paragraph" w:styleId="Elencocontinua3">
    <w:name w:val="List Continue 3"/>
    <w:basedOn w:val="Normale"/>
    <w:uiPriority w:val="99"/>
    <w:semiHidden/>
    <w:rsid w:val="006544C4"/>
    <w:pPr>
      <w:spacing w:after="120"/>
      <w:ind w:left="849"/>
      <w:contextualSpacing/>
    </w:pPr>
  </w:style>
  <w:style w:type="paragraph" w:styleId="Elencocontinua4">
    <w:name w:val="List Continue 4"/>
    <w:basedOn w:val="Normale"/>
    <w:uiPriority w:val="99"/>
    <w:semiHidden/>
    <w:rsid w:val="006544C4"/>
    <w:pPr>
      <w:spacing w:after="120"/>
      <w:ind w:left="1132"/>
      <w:contextualSpacing/>
    </w:pPr>
  </w:style>
  <w:style w:type="paragraph" w:styleId="Elencocontinua5">
    <w:name w:val="List Continue 5"/>
    <w:basedOn w:val="Normale"/>
    <w:uiPriority w:val="99"/>
    <w:semiHidden/>
    <w:rsid w:val="006544C4"/>
    <w:pPr>
      <w:spacing w:after="120"/>
      <w:ind w:left="1415"/>
      <w:contextualSpacing/>
    </w:pPr>
  </w:style>
  <w:style w:type="paragraph" w:styleId="Numeroelenco">
    <w:name w:val="List Number"/>
    <w:basedOn w:val="Normale"/>
    <w:semiHidden/>
    <w:rsid w:val="006544C4"/>
    <w:pPr>
      <w:numPr>
        <w:numId w:val="18"/>
      </w:numPr>
      <w:contextualSpacing/>
    </w:pPr>
  </w:style>
  <w:style w:type="paragraph" w:styleId="Numeroelenco2">
    <w:name w:val="List Number 2"/>
    <w:basedOn w:val="Normale"/>
    <w:uiPriority w:val="99"/>
    <w:semiHidden/>
    <w:rsid w:val="006544C4"/>
    <w:pPr>
      <w:numPr>
        <w:numId w:val="19"/>
      </w:numPr>
      <w:contextualSpacing/>
    </w:pPr>
  </w:style>
  <w:style w:type="paragraph" w:styleId="Numeroelenco3">
    <w:name w:val="List Number 3"/>
    <w:basedOn w:val="Normale"/>
    <w:semiHidden/>
    <w:rsid w:val="006544C4"/>
    <w:pPr>
      <w:numPr>
        <w:numId w:val="20"/>
      </w:numPr>
      <w:contextualSpacing/>
    </w:pPr>
  </w:style>
  <w:style w:type="paragraph" w:styleId="Numeroelenco4">
    <w:name w:val="List Number 4"/>
    <w:basedOn w:val="Normale"/>
    <w:uiPriority w:val="99"/>
    <w:semiHidden/>
    <w:rsid w:val="006544C4"/>
    <w:pPr>
      <w:numPr>
        <w:numId w:val="21"/>
      </w:numPr>
      <w:contextualSpacing/>
    </w:pPr>
  </w:style>
  <w:style w:type="paragraph" w:styleId="Numeroelenco5">
    <w:name w:val="List Number 5"/>
    <w:basedOn w:val="Normale"/>
    <w:semiHidden/>
    <w:rsid w:val="006544C4"/>
    <w:pPr>
      <w:numPr>
        <w:numId w:val="22"/>
      </w:numPr>
      <w:contextualSpacing/>
    </w:pPr>
  </w:style>
  <w:style w:type="paragraph" w:styleId="Testomacro">
    <w:name w:val="macro"/>
    <w:link w:val="TestomacroCarattere"/>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rsid w:val="006544C4"/>
    <w:rPr>
      <w:rFonts w:ascii="Consolas" w:eastAsiaTheme="minorEastAsia" w:hAnsi="Consolas" w:cs="Consolas"/>
      <w:sz w:val="20"/>
      <w:szCs w:val="20"/>
    </w:rPr>
  </w:style>
  <w:style w:type="table" w:styleId="Grigliamedia1">
    <w:name w:val="Medium Grid 1"/>
    <w:basedOn w:val="Tabellanormale"/>
    <w:uiPriority w:val="67"/>
    <w:semiHidden/>
    <w:rsid w:val="006544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6544C4"/>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6544C4"/>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6544C4"/>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6544C4"/>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6544C4"/>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6544C4"/>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6544C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6544C4"/>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6544C4"/>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6544C4"/>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6544C4"/>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6544C4"/>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6544C4"/>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6544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6544C4"/>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6544C4"/>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6544C4"/>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6544C4"/>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6544C4"/>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6544C4"/>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rsid w:val="006544C4"/>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6544C4"/>
    <w:rPr>
      <w:rFonts w:ascii="Times New Roman" w:hAnsi="Times New Roman" w:cs="Times New Roman"/>
      <w:szCs w:val="24"/>
    </w:rPr>
  </w:style>
  <w:style w:type="paragraph" w:styleId="Rientronormale">
    <w:name w:val="Normal Indent"/>
    <w:basedOn w:val="Normale"/>
    <w:uiPriority w:val="99"/>
    <w:semiHidden/>
    <w:rsid w:val="006544C4"/>
    <w:pPr>
      <w:ind w:left="720"/>
    </w:pPr>
  </w:style>
  <w:style w:type="paragraph" w:styleId="Intestazionenota">
    <w:name w:val="Note Heading"/>
    <w:basedOn w:val="Normale"/>
    <w:next w:val="Normale"/>
    <w:link w:val="IntestazionenotaCarattere"/>
    <w:uiPriority w:val="99"/>
    <w:semiHidden/>
    <w:rsid w:val="006544C4"/>
  </w:style>
  <w:style w:type="character" w:customStyle="1" w:styleId="IntestazionenotaCarattere">
    <w:name w:val="Intestazione nota Carattere"/>
    <w:basedOn w:val="Carpredefinitoparagrafo"/>
    <w:link w:val="Intestazionenota"/>
    <w:rsid w:val="006544C4"/>
    <w:rPr>
      <w:rFonts w:eastAsiaTheme="minorEastAsia"/>
      <w:sz w:val="24"/>
    </w:rPr>
  </w:style>
  <w:style w:type="character" w:styleId="Testosegnaposto">
    <w:name w:val="Placeholder Text"/>
    <w:basedOn w:val="Carpredefinitoparagrafo"/>
    <w:uiPriority w:val="99"/>
    <w:semiHidden/>
    <w:rsid w:val="006544C4"/>
    <w:rPr>
      <w:color w:val="808080"/>
    </w:rPr>
  </w:style>
  <w:style w:type="paragraph" w:styleId="Testonormale">
    <w:name w:val="Plain Text"/>
    <w:basedOn w:val="Normale"/>
    <w:link w:val="TestonormaleCarattere"/>
    <w:uiPriority w:val="99"/>
    <w:semiHidden/>
    <w:rsid w:val="006544C4"/>
    <w:rPr>
      <w:rFonts w:ascii="Consolas" w:hAnsi="Consolas" w:cs="Consolas"/>
      <w:sz w:val="21"/>
      <w:szCs w:val="21"/>
    </w:rPr>
  </w:style>
  <w:style w:type="character" w:customStyle="1" w:styleId="TestonormaleCarattere">
    <w:name w:val="Testo normale Carattere"/>
    <w:basedOn w:val="Carpredefinitoparagrafo"/>
    <w:link w:val="Testonormale"/>
    <w:rsid w:val="006544C4"/>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6544C4"/>
  </w:style>
  <w:style w:type="character" w:customStyle="1" w:styleId="FormuladiaperturaCarattere">
    <w:name w:val="Formula di apertura Carattere"/>
    <w:basedOn w:val="Carpredefinitoparagrafo"/>
    <w:link w:val="Formuladiapertura"/>
    <w:rsid w:val="006544C4"/>
    <w:rPr>
      <w:rFonts w:eastAsiaTheme="minorEastAsia"/>
      <w:sz w:val="24"/>
    </w:rPr>
  </w:style>
  <w:style w:type="paragraph" w:styleId="Firma">
    <w:name w:val="Signature"/>
    <w:basedOn w:val="Normale"/>
    <w:link w:val="FirmaCarattere"/>
    <w:uiPriority w:val="99"/>
    <w:semiHidden/>
    <w:rsid w:val="006544C4"/>
    <w:pPr>
      <w:ind w:left="4252"/>
    </w:pPr>
  </w:style>
  <w:style w:type="character" w:customStyle="1" w:styleId="FirmaCarattere">
    <w:name w:val="Firma Carattere"/>
    <w:basedOn w:val="Carpredefinitoparagrafo"/>
    <w:link w:val="Firma"/>
    <w:rsid w:val="006544C4"/>
    <w:rPr>
      <w:rFonts w:eastAsiaTheme="minorEastAsia"/>
      <w:sz w:val="24"/>
    </w:rPr>
  </w:style>
  <w:style w:type="table" w:styleId="Tabellaeffetti3D1">
    <w:name w:val="Table 3D effects 1"/>
    <w:basedOn w:val="Tabellanormale"/>
    <w:uiPriority w:val="99"/>
    <w:semiHidden/>
    <w:unhideWhenUsed/>
    <w:rsid w:val="006544C4"/>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44C4"/>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44C4"/>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6544C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44C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44C4"/>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44C4"/>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6544C4"/>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44C4"/>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44C4"/>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6544C4"/>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44C4"/>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44C4"/>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44C4"/>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44C4"/>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6544C4"/>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6544C4"/>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6544C4"/>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6544C4"/>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6544C4"/>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6544C4"/>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6544C4"/>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6544C4"/>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6544C4"/>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6544C4"/>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6544C4"/>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6544C4"/>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6544C4"/>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6544C4"/>
    <w:pPr>
      <w:ind w:left="240" w:hanging="240"/>
    </w:pPr>
  </w:style>
  <w:style w:type="paragraph" w:styleId="Indicedellefigure">
    <w:name w:val="table of figures"/>
    <w:basedOn w:val="Normale"/>
    <w:next w:val="Normale"/>
    <w:uiPriority w:val="99"/>
    <w:semiHidden/>
    <w:rsid w:val="006544C4"/>
  </w:style>
  <w:style w:type="table" w:styleId="Tabellaprofessionale">
    <w:name w:val="Table Professional"/>
    <w:basedOn w:val="Tabellanormale"/>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6544C4"/>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44C4"/>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44C4"/>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6544C4"/>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44C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aWeb1">
    <w:name w:val="Table Web 1"/>
    <w:basedOn w:val="Tabellanormale"/>
    <w:uiPriority w:val="99"/>
    <w:semiHidden/>
    <w:unhideWhenUsed/>
    <w:rsid w:val="006544C4"/>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44C4"/>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6544C4"/>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6544C4"/>
    <w:pPr>
      <w:spacing w:after="100"/>
      <w:ind w:left="1200"/>
    </w:pPr>
  </w:style>
  <w:style w:type="paragraph" w:styleId="Sommario7">
    <w:name w:val="toc 7"/>
    <w:basedOn w:val="Normale"/>
    <w:next w:val="Normale"/>
    <w:autoRedefine/>
    <w:uiPriority w:val="99"/>
    <w:semiHidden/>
    <w:rsid w:val="006544C4"/>
    <w:pPr>
      <w:spacing w:after="100"/>
      <w:ind w:left="1440"/>
    </w:pPr>
  </w:style>
  <w:style w:type="paragraph" w:styleId="Sommario8">
    <w:name w:val="toc 8"/>
    <w:basedOn w:val="Normale"/>
    <w:next w:val="Normale"/>
    <w:autoRedefine/>
    <w:uiPriority w:val="99"/>
    <w:semiHidden/>
    <w:rsid w:val="006544C4"/>
    <w:pPr>
      <w:spacing w:after="100"/>
      <w:ind w:left="1680"/>
    </w:pPr>
  </w:style>
  <w:style w:type="paragraph" w:styleId="Sommario9">
    <w:name w:val="toc 9"/>
    <w:basedOn w:val="Normale"/>
    <w:next w:val="Normale"/>
    <w:autoRedefine/>
    <w:uiPriority w:val="99"/>
    <w:semiHidden/>
    <w:rsid w:val="006544C4"/>
    <w:pPr>
      <w:spacing w:after="100"/>
      <w:ind w:left="1920"/>
    </w:pPr>
  </w:style>
  <w:style w:type="paragraph" w:customStyle="1" w:styleId="JuParaChar">
    <w:name w:val="Ju_Para Char"/>
    <w:basedOn w:val="Normale"/>
    <w:link w:val="JuParaCharChar"/>
    <w:rsid w:val="00201B2B"/>
    <w:pPr>
      <w:ind w:firstLine="284"/>
    </w:pPr>
  </w:style>
  <w:style w:type="character" w:customStyle="1" w:styleId="JuParaCharChar">
    <w:name w:val="Ju_Para Char Char"/>
    <w:link w:val="JuParaChar"/>
    <w:rsid w:val="00201B2B"/>
    <w:rPr>
      <w:rFonts w:eastAsiaTheme="minorEastAsia"/>
      <w:sz w:val="24"/>
    </w:rPr>
  </w:style>
  <w:style w:type="paragraph" w:customStyle="1" w:styleId="ECHRFooter">
    <w:name w:val="ECHR_Footer"/>
    <w:aliases w:val="Footer_ECHR"/>
    <w:basedOn w:val="Pidipagina"/>
    <w:uiPriority w:val="57"/>
    <w:semiHidden/>
    <w:rsid w:val="00201B2B"/>
    <w:pPr>
      <w:jc w:val="left"/>
    </w:pPr>
    <w:rPr>
      <w:rFonts w:eastAsiaTheme="minorHAnsi"/>
      <w:sz w:val="8"/>
    </w:rPr>
  </w:style>
  <w:style w:type="character" w:customStyle="1" w:styleId="JuHHeadChar">
    <w:name w:val="Ju_H_Head Char"/>
    <w:basedOn w:val="Carpredefinitoparagrafo"/>
    <w:link w:val="ECHRTitle1"/>
    <w:uiPriority w:val="18"/>
    <w:rsid w:val="00201B2B"/>
    <w:rPr>
      <w:rFonts w:asciiTheme="majorHAnsi" w:eastAsiaTheme="minorEastAsia" w:hAnsiTheme="majorHAnsi"/>
      <w:sz w:val="28"/>
    </w:rPr>
  </w:style>
  <w:style w:type="paragraph" w:customStyle="1" w:styleId="ECHRFooterLine">
    <w:name w:val="ECHR_Footer_Line"/>
    <w:aliases w:val="Footer_Line"/>
    <w:basedOn w:val="Normale"/>
    <w:next w:val="ECHRFooter"/>
    <w:uiPriority w:val="57"/>
    <w:semiHidden/>
    <w:rsid w:val="00201B2B"/>
    <w:pPr>
      <w:pBdr>
        <w:top w:val="single" w:sz="6" w:space="1" w:color="5F5F5F"/>
      </w:pBdr>
      <w:tabs>
        <w:tab w:val="center" w:pos="4536"/>
        <w:tab w:val="right" w:pos="9696"/>
      </w:tabs>
      <w:ind w:left="-680" w:right="-680"/>
      <w:jc w:val="left"/>
    </w:pPr>
    <w:rPr>
      <w:color w:val="5F5F5F"/>
    </w:rPr>
  </w:style>
  <w:style w:type="paragraph" w:customStyle="1" w:styleId="JuCase">
    <w:name w:val="Ju_Case"/>
    <w:basedOn w:val="Normale"/>
    <w:next w:val="ECHRPara"/>
    <w:uiPriority w:val="10"/>
    <w:semiHidden/>
    <w:rsid w:val="00201B2B"/>
    <w:pPr>
      <w:ind w:firstLine="284"/>
    </w:pPr>
    <w:rPr>
      <w:b/>
    </w:rPr>
  </w:style>
  <w:style w:type="character" w:customStyle="1" w:styleId="DecHTitleChar">
    <w:name w:val="Dec_H_Title Char"/>
    <w:basedOn w:val="Carpredefinitoparagrafo"/>
    <w:link w:val="DecHTitle"/>
    <w:uiPriority w:val="7"/>
    <w:rsid w:val="00201B2B"/>
    <w:rPr>
      <w:rFonts w:asciiTheme="majorHAnsi" w:eastAsiaTheme="minorEastAsia" w:hAnsiTheme="majorHAnsi"/>
      <w:sz w:val="28"/>
    </w:rPr>
  </w:style>
  <w:style w:type="character" w:customStyle="1" w:styleId="JuHAChar">
    <w:name w:val="Ju_H_A Char"/>
    <w:basedOn w:val="Carpredefinitoparagrafo"/>
    <w:link w:val="ECHRHeading2"/>
    <w:uiPriority w:val="20"/>
    <w:rsid w:val="00201B2B"/>
    <w:rPr>
      <w:rFonts w:asciiTheme="majorHAnsi" w:eastAsiaTheme="majorEastAsia" w:hAnsiTheme="majorHAnsi" w:cstheme="majorBidi"/>
      <w:b/>
      <w:bCs/>
      <w:sz w:val="24"/>
      <w:szCs w:val="26"/>
    </w:rPr>
  </w:style>
  <w:style w:type="character" w:customStyle="1" w:styleId="JuSignedChar">
    <w:name w:val="Ju_Signed Char"/>
    <w:basedOn w:val="Carpredefinitoparagrafo"/>
    <w:link w:val="JuSigned"/>
    <w:uiPriority w:val="32"/>
    <w:rsid w:val="00201B2B"/>
    <w:rPr>
      <w:rFonts w:eastAsiaTheme="minorEastAsia"/>
      <w:sz w:val="24"/>
    </w:rPr>
  </w:style>
  <w:style w:type="character" w:customStyle="1" w:styleId="JuParaLastChar">
    <w:name w:val="Ju_Para_Last Char"/>
    <w:basedOn w:val="Carpredefinitoparagrafo"/>
    <w:link w:val="JuParaLast"/>
    <w:uiPriority w:val="30"/>
    <w:rsid w:val="00201B2B"/>
    <w:rPr>
      <w:rFonts w:eastAsiaTheme="minorEastAsia"/>
      <w:sz w:val="24"/>
    </w:rPr>
  </w:style>
  <w:style w:type="character" w:customStyle="1" w:styleId="DecHCaseChar">
    <w:name w:val="Dec_H_Case Char"/>
    <w:basedOn w:val="DecHTitleChar"/>
    <w:link w:val="ECHRTitleCentre2"/>
    <w:uiPriority w:val="8"/>
    <w:rsid w:val="00201B2B"/>
    <w:rPr>
      <w:rFonts w:asciiTheme="majorHAnsi" w:eastAsiaTheme="minorEastAsia" w:hAnsiTheme="majorHAnsi"/>
      <w:sz w:val="24"/>
    </w:rPr>
  </w:style>
  <w:style w:type="character" w:customStyle="1" w:styleId="DecListChar">
    <w:name w:val="Dec_List Char"/>
    <w:basedOn w:val="Carpredefinitoparagrafo"/>
    <w:link w:val="DecList"/>
    <w:uiPriority w:val="9"/>
    <w:rsid w:val="00201B2B"/>
    <w:rPr>
      <w:rFonts w:eastAsiaTheme="minorEastAsia"/>
      <w:sz w:val="24"/>
    </w:rPr>
  </w:style>
  <w:style w:type="numbering" w:customStyle="1" w:styleId="ECHRA1StyleBulletedSquare">
    <w:name w:val="ECHR_A1_Style_Bulleted_Square"/>
    <w:basedOn w:val="Nessunelenco"/>
    <w:rsid w:val="00201B2B"/>
    <w:pPr>
      <w:numPr>
        <w:numId w:val="23"/>
      </w:numPr>
    </w:pPr>
  </w:style>
  <w:style w:type="paragraph" w:customStyle="1" w:styleId="ECHRBullet1">
    <w:name w:val="ECHR_Bullet_1"/>
    <w:aliases w:val="Bul_1"/>
    <w:basedOn w:val="Normale"/>
    <w:uiPriority w:val="8"/>
    <w:qFormat/>
    <w:rsid w:val="00201B2B"/>
    <w:pPr>
      <w:numPr>
        <w:numId w:val="23"/>
      </w:numPr>
      <w:spacing w:before="60" w:after="60"/>
      <w:contextualSpacing/>
    </w:pPr>
    <w:rPr>
      <w:sz w:val="22"/>
    </w:rPr>
  </w:style>
  <w:style w:type="paragraph" w:customStyle="1" w:styleId="ECHRBullet2">
    <w:name w:val="ECHR_Bullet_2"/>
    <w:aliases w:val="Bul_2"/>
    <w:basedOn w:val="ECHRBullet1"/>
    <w:uiPriority w:val="8"/>
    <w:rsid w:val="00201B2B"/>
    <w:pPr>
      <w:numPr>
        <w:ilvl w:val="1"/>
      </w:numPr>
    </w:pPr>
  </w:style>
  <w:style w:type="paragraph" w:customStyle="1" w:styleId="ECHRBullet3">
    <w:name w:val="ECHR_Bullet_3"/>
    <w:aliases w:val="Bul_3"/>
    <w:basedOn w:val="ECHRBullet2"/>
    <w:uiPriority w:val="8"/>
    <w:rsid w:val="00201B2B"/>
    <w:pPr>
      <w:numPr>
        <w:ilvl w:val="2"/>
      </w:numPr>
    </w:pPr>
  </w:style>
  <w:style w:type="paragraph" w:customStyle="1" w:styleId="ECHRBullet4">
    <w:name w:val="ECHR_Bullet_4"/>
    <w:aliases w:val="Bul_4"/>
    <w:basedOn w:val="ECHRBullet3"/>
    <w:uiPriority w:val="8"/>
    <w:rsid w:val="00201B2B"/>
    <w:pPr>
      <w:numPr>
        <w:ilvl w:val="3"/>
      </w:numPr>
    </w:pPr>
  </w:style>
  <w:style w:type="character" w:customStyle="1" w:styleId="ECHRParaChar">
    <w:name w:val="ECHR_Para Char"/>
    <w:aliases w:val="Para Char"/>
    <w:basedOn w:val="Carpredefinitoparagrafo"/>
    <w:link w:val="ECHRPara"/>
    <w:locked/>
    <w:rsid w:val="00201B2B"/>
    <w:rPr>
      <w:rFonts w:eastAsiaTheme="minorEastAsia"/>
      <w:sz w:val="24"/>
    </w:rPr>
  </w:style>
  <w:style w:type="character" w:customStyle="1" w:styleId="JuTitleChar">
    <w:name w:val="Ju_Title Char"/>
    <w:link w:val="JuTitle"/>
    <w:rsid w:val="00201B2B"/>
    <w:rPr>
      <w:rFonts w:asciiTheme="majorHAnsi" w:eastAsiaTheme="minorEastAsia" w:hAnsiTheme="majorHAnsi"/>
      <w:b/>
      <w:caps/>
      <w:sz w:val="24"/>
    </w:rPr>
  </w:style>
  <w:style w:type="character" w:customStyle="1" w:styleId="s6b621b36">
    <w:name w:val="s6b621b36"/>
    <w:basedOn w:val="Carpredefinitoparagrafo"/>
    <w:rsid w:val="00201B2B"/>
  </w:style>
  <w:style w:type="character" w:customStyle="1" w:styleId="sb8d990e2">
    <w:name w:val="sb8d990e2"/>
    <w:basedOn w:val="Carpredefinitoparagrafo"/>
    <w:rsid w:val="00201B2B"/>
  </w:style>
  <w:style w:type="character" w:customStyle="1" w:styleId="sea881cdfhasverticalalignsuper">
    <w:name w:val="sea881cdf hasverticalalignsuper"/>
    <w:basedOn w:val="Carpredefinitoparagrafo"/>
    <w:rsid w:val="00201B2B"/>
  </w:style>
  <w:style w:type="character" w:customStyle="1" w:styleId="JuParaCar">
    <w:name w:val="Ju_Para Car"/>
    <w:rsid w:val="00201B2B"/>
    <w:rPr>
      <w:rFonts w:eastAsiaTheme="minorEastAsia"/>
      <w:sz w:val="24"/>
    </w:rPr>
  </w:style>
  <w:style w:type="character" w:customStyle="1" w:styleId="JuHIRomanChar">
    <w:name w:val="Ju_H_I_Roman Char"/>
    <w:link w:val="ECHRHeading1"/>
    <w:uiPriority w:val="19"/>
    <w:rsid w:val="00201B2B"/>
    <w:rPr>
      <w:rFonts w:asciiTheme="majorHAnsi" w:eastAsiaTheme="majorEastAsia" w:hAnsiTheme="majorHAnsi" w:cstheme="majorBidi"/>
      <w:b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2" w:uiPriority="0"/>
    <w:lsdException w:name="index 6" w:uiPriority="0"/>
    <w:lsdException w:name="index 8" w:uiPriority="0"/>
    <w:lsdException w:name="toc 1" w:unhideWhenUsed="1"/>
    <w:lsdException w:name="toc 2" w:unhideWhenUsed="1"/>
    <w:lsdException w:name="toc 3" w:unhideWhenUsed="1"/>
    <w:lsdException w:name="toc 4" w:unhideWhenUsed="1"/>
    <w:lsdException w:name="toc 5" w:unhideWhenUsed="1"/>
    <w:lsdException w:name="footnote text" w:unhideWhenUsed="1"/>
    <w:lsdException w:name="annotation text" w:uiPriority="0"/>
    <w:lsdException w:name="header" w:unhideWhenUsed="1"/>
    <w:lsdException w:name="footer" w:unhideWhenUsed="1"/>
    <w:lsdException w:name="index heading" w:uiPriority="0"/>
    <w:lsdException w:name="caption" w:qFormat="1"/>
    <w:lsdException w:name="envelope return" w:uiPriority="0"/>
    <w:lsdException w:name="footnote reference" w:uiPriority="0" w:unhideWhenUsed="1"/>
    <w:lsdException w:name="annotation reference" w:uiPriority="0"/>
    <w:lsdException w:name="line number" w:uiPriority="0"/>
    <w:lsdException w:name="page number" w:qFormat="1"/>
    <w:lsdException w:name="endnote reference" w:uiPriority="0"/>
    <w:lsdException w:name="List Number" w:uiPriority="0"/>
    <w:lsdException w:name="List 2" w:uiPriority="0"/>
    <w:lsdException w:name="List 4" w:uiPriority="0"/>
    <w:lsdException w:name="List Bullet 3" w:uiPriority="0"/>
    <w:lsdException w:name="List Bullet 5" w:uiPriority="0"/>
    <w:lsdException w:name="List Number 3" w:uiPriority="0"/>
    <w:lsdException w:name="List Number 5" w:uiPriority="0"/>
    <w:lsdException w:name="Title" w:semiHidden="0" w:qFormat="1"/>
    <w:lsdException w:name="Default Paragraph Font" w:uiPriority="1" w:unhideWhenUsed="1"/>
    <w:lsdException w:name="Body Text" w:uiPriority="0"/>
    <w:lsdException w:name="List Continue 2" w:uiPriority="0"/>
    <w:lsdException w:name="Subtitle" w:qFormat="1"/>
    <w:lsdException w:name="Body Text First Indent 2" w:uiPriority="0"/>
    <w:lsdException w:name="Body Text Indent 2" w:uiPriority="0"/>
    <w:lsdException w:name="Hyperlink" w:unhideWhenUsed="1"/>
    <w:lsdException w:name="Strong" w:semiHidden="0" w:qFormat="1"/>
    <w:lsdException w:name="Emphasis" w:semiHidden="0" w:qFormat="1"/>
    <w:lsdException w:name="Document Map" w:uiPriority="0"/>
    <w:lsdException w:name="HTML Top of Form" w:unhideWhenUsed="1"/>
    <w:lsdException w:name="HTML Bottom of Form" w:unhideWhenUsed="1"/>
    <w:lsdException w:name="HTML Address" w:uiPriority="0"/>
    <w:lsdException w:name="HTML Keyboard" w:uiPriority="0"/>
    <w:lsdException w:name="HTML Sample" w:uiPriority="0"/>
    <w:lsdException w:name="HTML Variable" w:uiPriority="0"/>
    <w:lsdException w:name="Normal Table" w:unhideWhenUsed="1"/>
    <w:lsdException w:name="annotation subject" w:uiPriority="0"/>
    <w:lsdException w:name="No List" w:unhideWhenUsed="1"/>
    <w:lsdException w:name="Outline List 1" w:uiPriority="0"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qFormat="1"/>
    <w:lsdException w:name="Light Shading" w:semiHidden="0"/>
    <w:lsdException w:name="Light List" w:semiHidden="0" w:uiPriority="61"/>
    <w:lsdException w:name="Light Grid" w:semiHidden="0"/>
    <w:lsdException w:name="Medium Shading 1" w:semiHidden="0"/>
    <w:lsdException w:name="Medium Shading 2" w:semiHidden="0"/>
    <w:lsdException w:name="Medium List 1" w:semiHidden="0"/>
    <w:lsdException w:name="Medium List 2" w:semiHidden="0" w:uiPriority="66"/>
    <w:lsdException w:name="Medium Grid 1" w:semiHidden="0" w:uiPriority="67"/>
    <w:lsdException w:name="Medium Grid 2" w:semiHidden="0"/>
    <w:lsdException w:name="Medium Grid 3" w:semiHidden="0"/>
    <w:lsdException w:name="Dark List" w:semiHidden="0"/>
    <w:lsdException w:name="Colorful Shading" w:semiHidden="0"/>
    <w:lsdException w:name="Colorful List" w:semiHidden="0" w:uiPriority="72"/>
    <w:lsdException w:name="Colorful Grid" w:semiHidden="0"/>
    <w:lsdException w:name="Light Shading Accent 1" w:semiHidden="0"/>
    <w:lsdException w:name="Light List Accent 1" w:semiHidden="0"/>
    <w:lsdException w:name="Light Grid Accent 1" w:semiHidden="0" w:uiPriority="62"/>
    <w:lsdException w:name="Medium Shading 1 Accent 1" w:semiHidden="0" w:uiPriority="63"/>
    <w:lsdException w:name="Medium Shading 2 Accent 1" w:semiHidden="0"/>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uiPriority="68"/>
    <w:lsdException w:name="Medium Grid 3 Accent 1" w:semiHidden="0"/>
    <w:lsdException w:name="Dark List Accent 1" w:semiHidden="0"/>
    <w:lsdException w:name="Colorful Shading Accent 1" w:semiHidden="0"/>
    <w:lsdException w:name="Colorful List Accent 1" w:semiHidden="0"/>
    <w:lsdException w:name="Colorful Grid Accent 1" w:semiHidden="0" w:uiPriority="73"/>
    <w:lsdException w:name="Light Shading Accent 2" w:semiHidden="0"/>
    <w:lsdException w:name="Light List Accent 2" w:semiHidden="0" w:uiPriority="61"/>
    <w:lsdException w:name="Light Grid Accent 2" w:semiHidden="0"/>
    <w:lsdException w:name="Medium Shading 1 Accent 2" w:semiHidden="0"/>
    <w:lsdException w:name="Medium Shading 2 Accent 2" w:semiHidden="0" w:uiPriority="64"/>
    <w:lsdException w:name="Medium List 1 Accent 2" w:semiHidden="0"/>
    <w:lsdException w:name="Medium List 2 Accent 2" w:semiHidden="0" w:uiPriority="66"/>
    <w:lsdException w:name="Medium Grid 1 Accent 2" w:semiHidden="0"/>
    <w:lsdException w:name="Medium Grid 2 Accent 2" w:semiHidden="0"/>
    <w:lsdException w:name="Medium Grid 3 Accent 2" w:semiHidden="0" w:uiPriority="69"/>
    <w:lsdException w:name="Dark List Accent 2" w:semiHidden="0" w:uiPriority="70"/>
    <w:lsdException w:name="Colorful Shading Accent 2" w:semiHidden="0"/>
    <w:lsdException w:name="Colorful List Accent 2" w:semiHidden="0" w:uiPriority="72"/>
    <w:lsdException w:name="Colorful Grid Accent 2" w:semiHidden="0"/>
    <w:lsdException w:name="Light Shading Accent 3" w:semiHidden="0" w:uiPriority="60"/>
    <w:lsdException w:name="Light List Accent 3" w:semiHidden="0"/>
    <w:lsdException w:name="Light Grid Accent 3" w:semiHidden="0"/>
    <w:lsdException w:name="Medium Shading 1 Accent 3" w:semiHidden="0" w:uiPriority="63"/>
    <w:lsdException w:name="Medium Shading 2 Accent 3" w:semiHidden="0"/>
    <w:lsdException w:name="Medium List 1 Accent 3" w:semiHidden="0" w:uiPriority="65"/>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uiPriority="71"/>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uiPriority="66"/>
    <w:lsdException w:name="Medium Grid 1 Accent 4" w:semiHidden="0" w:uiPriority="67"/>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uiPriority="62"/>
    <w:lsdException w:name="Medium Shading 1 Accent 5" w:semiHidden="0" w:uiPriority="63"/>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uiPriority="68"/>
    <w:lsdException w:name="Medium Grid 3 Accent 5" w:semiHidden="0"/>
    <w:lsdException w:name="Dark List Accent 5" w:semiHidden="0"/>
    <w:lsdException w:name="Colorful Shading Accent 5" w:semiHidden="0"/>
    <w:lsdException w:name="Colorful List Accent 5" w:semiHidden="0"/>
    <w:lsdException w:name="Colorful Grid Accent 5" w:semiHidden="0" w:uiPriority="73"/>
    <w:lsdException w:name="Light Shading Accent 6" w:semiHidden="0"/>
    <w:lsdException w:name="Light List Accent 6" w:semiHidden="0" w:uiPriority="61"/>
    <w:lsdException w:name="Light Grid Accent 6" w:semiHidden="0"/>
    <w:lsdException w:name="Medium Shading 1 Accent 6" w:semiHidden="0"/>
    <w:lsdException w:name="Medium Shading 2 Accent 6" w:semiHidden="0" w:uiPriority="64"/>
    <w:lsdException w:name="Medium List 1 Accent 6" w:semiHidden="0"/>
    <w:lsdException w:name="Medium List 2 Accent 6" w:semiHidden="0"/>
    <w:lsdException w:name="Medium Grid 1 Accent 6" w:semiHidden="0" w:uiPriority="67"/>
    <w:lsdException w:name="Medium Grid 2 Accent 6" w:semiHidden="0"/>
    <w:lsdException w:name="Medium Grid 3 Accent 6" w:semiHidden="0" w:uiPriority="69"/>
    <w:lsdException w:name="Dark List Accent 6" w:semiHidden="0" w:uiPriority="70"/>
    <w:lsdException w:name="Colorful Shading Accent 6" w:semiHidden="0"/>
    <w:lsdException w:name="Colorful List Accent 6" w:semiHidden="0" w:uiPriority="72"/>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Normale">
    <w:name w:val="Normal"/>
    <w:semiHidden/>
    <w:rsid w:val="006544C4"/>
    <w:pPr>
      <w:jc w:val="both"/>
    </w:pPr>
    <w:rPr>
      <w:rFonts w:eastAsiaTheme="minorEastAsia"/>
      <w:sz w:val="24"/>
    </w:rPr>
  </w:style>
  <w:style w:type="paragraph" w:styleId="Titolo1">
    <w:name w:val="heading 1"/>
    <w:basedOn w:val="Normale"/>
    <w:next w:val="Normale"/>
    <w:link w:val="Titolo1Carattere"/>
    <w:uiPriority w:val="99"/>
    <w:semiHidden/>
    <w:rsid w:val="00941747"/>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941747"/>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941747"/>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941747"/>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6544C4"/>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94174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6544C4"/>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6544C4"/>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6544C4"/>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94174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71F8"/>
    <w:rPr>
      <w:rFonts w:ascii="Tahoma" w:eastAsiaTheme="minorEastAsia" w:hAnsi="Tahoma" w:cs="Tahoma"/>
      <w:sz w:val="16"/>
      <w:szCs w:val="16"/>
    </w:rPr>
  </w:style>
  <w:style w:type="character" w:styleId="Titolodellibro">
    <w:name w:val="Book Title"/>
    <w:uiPriority w:val="99"/>
    <w:semiHidden/>
    <w:qFormat/>
    <w:rsid w:val="006544C4"/>
    <w:rPr>
      <w:i/>
      <w:iCs/>
      <w:smallCaps/>
      <w:spacing w:val="5"/>
    </w:rPr>
  </w:style>
  <w:style w:type="paragraph" w:customStyle="1" w:styleId="ECHRHeader">
    <w:name w:val="ECHR_Header"/>
    <w:aliases w:val="Ju_Header"/>
    <w:basedOn w:val="Intestazione"/>
    <w:uiPriority w:val="4"/>
    <w:qFormat/>
    <w:rsid w:val="006544C4"/>
    <w:pPr>
      <w:tabs>
        <w:tab w:val="clear" w:pos="4536"/>
        <w:tab w:val="clear" w:pos="9696"/>
        <w:tab w:val="center" w:pos="3686"/>
        <w:tab w:val="right" w:pos="7371"/>
      </w:tabs>
      <w:ind w:left="0" w:right="0"/>
      <w:jc w:val="left"/>
    </w:pPr>
    <w:rPr>
      <w:rFonts w:eastAsiaTheme="minorHAnsi"/>
      <w:sz w:val="18"/>
    </w:rPr>
  </w:style>
  <w:style w:type="paragraph" w:customStyle="1" w:styleId="JuAppQuestion">
    <w:name w:val="Ju_App_Question"/>
    <w:basedOn w:val="Normale"/>
    <w:uiPriority w:val="5"/>
    <w:qFormat/>
    <w:rsid w:val="006544C4"/>
    <w:pPr>
      <w:numPr>
        <w:numId w:val="11"/>
      </w:numPr>
      <w:jc w:val="left"/>
    </w:pPr>
    <w:rPr>
      <w:b/>
    </w:rPr>
  </w:style>
  <w:style w:type="character" w:styleId="Enfasigrassetto">
    <w:name w:val="Strong"/>
    <w:uiPriority w:val="99"/>
    <w:semiHidden/>
    <w:qFormat/>
    <w:rsid w:val="006544C4"/>
    <w:rPr>
      <w:b/>
      <w:bCs/>
    </w:rPr>
  </w:style>
  <w:style w:type="paragraph" w:styleId="Nessunaspaziatura">
    <w:name w:val="No Spacing"/>
    <w:basedOn w:val="Normale"/>
    <w:link w:val="NessunaspaziaturaCarattere"/>
    <w:uiPriority w:val="99"/>
    <w:semiHidden/>
    <w:qFormat/>
    <w:rsid w:val="006544C4"/>
    <w:rPr>
      <w:sz w:val="22"/>
    </w:rPr>
  </w:style>
  <w:style w:type="character" w:customStyle="1" w:styleId="NessunaspaziaturaCarattere">
    <w:name w:val="Nessuna spaziatura Carattere"/>
    <w:basedOn w:val="Carpredefinitoparagrafo"/>
    <w:link w:val="Nessunaspaziatura"/>
    <w:semiHidden/>
    <w:rsid w:val="006544C4"/>
    <w:rPr>
      <w:rFonts w:eastAsiaTheme="minorEastAsia"/>
    </w:rPr>
  </w:style>
  <w:style w:type="paragraph" w:customStyle="1" w:styleId="OpiPara">
    <w:name w:val="Opi_Para"/>
    <w:basedOn w:val="Normale"/>
    <w:uiPriority w:val="46"/>
    <w:semiHidden/>
    <w:qFormat/>
    <w:rsid w:val="004047FE"/>
    <w:pPr>
      <w:ind w:firstLine="284"/>
    </w:pPr>
  </w:style>
  <w:style w:type="paragraph" w:customStyle="1" w:styleId="ECHRParaQuote">
    <w:name w:val="ECHR_Para_Quote"/>
    <w:aliases w:val="Ju_Quot"/>
    <w:basedOn w:val="Normale"/>
    <w:qFormat/>
    <w:rsid w:val="006544C4"/>
    <w:pPr>
      <w:spacing w:before="120" w:after="120"/>
      <w:ind w:left="425" w:firstLine="142"/>
    </w:pPr>
    <w:rPr>
      <w:sz w:val="20"/>
    </w:rPr>
  </w:style>
  <w:style w:type="paragraph" w:customStyle="1" w:styleId="JuParaSub">
    <w:name w:val="Ju_Para_Sub"/>
    <w:basedOn w:val="Normale"/>
    <w:uiPriority w:val="13"/>
    <w:qFormat/>
    <w:rsid w:val="004047FE"/>
    <w:pPr>
      <w:ind w:left="284" w:firstLine="284"/>
    </w:pPr>
  </w:style>
  <w:style w:type="paragraph" w:customStyle="1" w:styleId="OpiParaSub">
    <w:name w:val="Opi_Para_Sub"/>
    <w:basedOn w:val="JuParaSub"/>
    <w:uiPriority w:val="47"/>
    <w:semiHidden/>
    <w:qFormat/>
    <w:rsid w:val="006544C4"/>
  </w:style>
  <w:style w:type="paragraph" w:customStyle="1" w:styleId="OpiQuot">
    <w:name w:val="Opi_Quot"/>
    <w:basedOn w:val="ECHRParaQuote"/>
    <w:uiPriority w:val="48"/>
    <w:semiHidden/>
    <w:qFormat/>
    <w:rsid w:val="006544C4"/>
  </w:style>
  <w:style w:type="paragraph" w:customStyle="1" w:styleId="OpiQuotSub">
    <w:name w:val="Opi_Quot_Sub"/>
    <w:basedOn w:val="JuQuotSub"/>
    <w:uiPriority w:val="49"/>
    <w:semiHidden/>
    <w:qFormat/>
    <w:rsid w:val="006544C4"/>
  </w:style>
  <w:style w:type="paragraph" w:customStyle="1" w:styleId="ECHRTitleCentre3">
    <w:name w:val="ECHR_Title_Centre_3"/>
    <w:aliases w:val="Ju_H_Article"/>
    <w:basedOn w:val="Normale"/>
    <w:next w:val="ECHRParaQuote"/>
    <w:uiPriority w:val="27"/>
    <w:qFormat/>
    <w:rsid w:val="006544C4"/>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semiHidden/>
    <w:qFormat/>
    <w:rsid w:val="006544C4"/>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6544C4"/>
    <w:pPr>
      <w:ind w:left="567"/>
    </w:pPr>
  </w:style>
  <w:style w:type="paragraph" w:customStyle="1" w:styleId="ECHRTitle1">
    <w:name w:val="ECHR_Title_1"/>
    <w:aliases w:val="Ju_H_Head"/>
    <w:basedOn w:val="Normale"/>
    <w:next w:val="Normale"/>
    <w:link w:val="JuHHeadChar"/>
    <w:uiPriority w:val="18"/>
    <w:qFormat/>
    <w:rsid w:val="006544C4"/>
    <w:pPr>
      <w:keepNext/>
      <w:keepLines/>
      <w:spacing w:before="720" w:after="240"/>
      <w:outlineLvl w:val="0"/>
    </w:pPr>
    <w:rPr>
      <w:rFonts w:asciiTheme="majorHAnsi" w:hAnsiTheme="majorHAnsi"/>
      <w:sz w:val="28"/>
    </w:rPr>
  </w:style>
  <w:style w:type="paragraph" w:customStyle="1" w:styleId="JuInitialled">
    <w:name w:val="Ju_Initialled"/>
    <w:basedOn w:val="Normale"/>
    <w:uiPriority w:val="31"/>
    <w:qFormat/>
    <w:rsid w:val="006544C4"/>
    <w:pPr>
      <w:tabs>
        <w:tab w:val="center" w:pos="6407"/>
      </w:tabs>
      <w:spacing w:before="720"/>
      <w:jc w:val="right"/>
    </w:pPr>
  </w:style>
  <w:style w:type="paragraph" w:styleId="Titolo">
    <w:name w:val="Title"/>
    <w:basedOn w:val="Normale"/>
    <w:next w:val="Normale"/>
    <w:link w:val="TitoloCarattere"/>
    <w:uiPriority w:val="99"/>
    <w:semiHidden/>
    <w:qFormat/>
    <w:rsid w:val="006544C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6544C4"/>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semiHidden/>
    <w:qFormat/>
    <w:rsid w:val="006544C4"/>
    <w:pPr>
      <w:tabs>
        <w:tab w:val="clear" w:pos="357"/>
      </w:tabs>
      <w:outlineLvl w:val="1"/>
    </w:pPr>
    <w:rPr>
      <w:b/>
    </w:rPr>
  </w:style>
  <w:style w:type="character" w:customStyle="1" w:styleId="JUNAMES">
    <w:name w:val="JU_NAMES"/>
    <w:uiPriority w:val="17"/>
    <w:qFormat/>
    <w:rsid w:val="006544C4"/>
    <w:rPr>
      <w:caps w:val="0"/>
      <w:smallCaps/>
    </w:rPr>
  </w:style>
  <w:style w:type="character" w:customStyle="1" w:styleId="JuITMark">
    <w:name w:val="Ju_ITMark"/>
    <w:basedOn w:val="Carpredefinitoparagrafo"/>
    <w:qFormat/>
    <w:rsid w:val="006544C4"/>
    <w:rPr>
      <w:vanish/>
      <w:color w:val="339966"/>
      <w:sz w:val="14"/>
    </w:rPr>
  </w:style>
  <w:style w:type="paragraph" w:customStyle="1" w:styleId="OpiTranslation">
    <w:name w:val="Opi_Translation"/>
    <w:basedOn w:val="Normale"/>
    <w:next w:val="OpiPara"/>
    <w:uiPriority w:val="40"/>
    <w:semiHidden/>
    <w:qFormat/>
    <w:rsid w:val="006544C4"/>
    <w:pPr>
      <w:jc w:val="center"/>
      <w:outlineLvl w:val="0"/>
    </w:pPr>
    <w:rPr>
      <w:i/>
    </w:rPr>
  </w:style>
  <w:style w:type="paragraph" w:customStyle="1" w:styleId="JuCourt">
    <w:name w:val="Ju_Court"/>
    <w:basedOn w:val="Normale"/>
    <w:next w:val="Normale"/>
    <w:uiPriority w:val="16"/>
    <w:qFormat/>
    <w:rsid w:val="006544C4"/>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Titolo1"/>
    <w:next w:val="Normale"/>
    <w:link w:val="JuHIRomanChar"/>
    <w:uiPriority w:val="19"/>
    <w:qFormat/>
    <w:rsid w:val="006544C4"/>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Normale"/>
    <w:link w:val="JuHAChar"/>
    <w:uiPriority w:val="20"/>
    <w:qFormat/>
    <w:rsid w:val="006544C4"/>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Titolo3"/>
    <w:next w:val="Normale"/>
    <w:qFormat/>
    <w:rsid w:val="006544C4"/>
    <w:pPr>
      <w:keepNext/>
      <w:keepLines/>
      <w:tabs>
        <w:tab w:val="left" w:pos="731"/>
      </w:tabs>
      <w:spacing w:before="240" w:after="120" w:line="240" w:lineRule="auto"/>
      <w:ind w:left="732" w:hanging="301"/>
    </w:pPr>
    <w:rPr>
      <w:b w:val="0"/>
      <w:i/>
      <w:color w:val="auto"/>
    </w:rPr>
  </w:style>
  <w:style w:type="paragraph" w:styleId="Intestazione">
    <w:name w:val="header"/>
    <w:basedOn w:val="Normale"/>
    <w:link w:val="IntestazioneCarattere"/>
    <w:uiPriority w:val="99"/>
    <w:semiHidden/>
    <w:rsid w:val="00941747"/>
    <w:pPr>
      <w:tabs>
        <w:tab w:val="center" w:pos="4536"/>
        <w:tab w:val="right" w:pos="9696"/>
      </w:tabs>
      <w:ind w:left="-680" w:right="-680"/>
    </w:pPr>
  </w:style>
  <w:style w:type="character" w:customStyle="1" w:styleId="IntestazioneCarattere">
    <w:name w:val="Intestazione Carattere"/>
    <w:basedOn w:val="Carpredefinitoparagrafo"/>
    <w:link w:val="Intestazione"/>
    <w:uiPriority w:val="57"/>
    <w:semiHidden/>
    <w:rsid w:val="008D4752"/>
  </w:style>
  <w:style w:type="character" w:customStyle="1" w:styleId="Titolo1Carattere">
    <w:name w:val="Titolo 1 Carattere"/>
    <w:basedOn w:val="Carpredefinitoparagrafo"/>
    <w:link w:val="Titolo1"/>
    <w:uiPriority w:val="99"/>
    <w:semiHidden/>
    <w:rsid w:val="00A671F8"/>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Titolo4"/>
    <w:next w:val="Normale"/>
    <w:uiPriority w:val="22"/>
    <w:qFormat/>
    <w:rsid w:val="006544C4"/>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Normale"/>
    <w:uiPriority w:val="23"/>
    <w:qFormat/>
    <w:rsid w:val="006544C4"/>
    <w:pPr>
      <w:keepNext/>
      <w:keepLines/>
      <w:tabs>
        <w:tab w:val="left" w:pos="1191"/>
      </w:tabs>
      <w:spacing w:before="240" w:after="120"/>
      <w:ind w:left="1190" w:hanging="357"/>
    </w:pPr>
    <w:rPr>
      <w:b w:val="0"/>
      <w:i/>
      <w:color w:val="auto"/>
      <w:sz w:val="20"/>
    </w:rPr>
  </w:style>
  <w:style w:type="character" w:customStyle="1" w:styleId="Titolo2Carattere">
    <w:name w:val="Titolo 2 Carattere"/>
    <w:basedOn w:val="Carpredefinitoparagrafo"/>
    <w:link w:val="Titolo2"/>
    <w:uiPriority w:val="99"/>
    <w:semiHidden/>
    <w:rsid w:val="00A671F8"/>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Titolo6"/>
    <w:next w:val="Normale"/>
    <w:uiPriority w:val="24"/>
    <w:qFormat/>
    <w:rsid w:val="006544C4"/>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Titolo7"/>
    <w:next w:val="Normale"/>
    <w:uiPriority w:val="25"/>
    <w:qFormat/>
    <w:rsid w:val="006544C4"/>
    <w:pPr>
      <w:keepNext/>
      <w:keepLines/>
      <w:spacing w:before="240" w:after="120"/>
      <w:ind w:left="1236"/>
    </w:pPr>
    <w:rPr>
      <w:sz w:val="20"/>
    </w:rPr>
  </w:style>
  <w:style w:type="character" w:customStyle="1" w:styleId="Titolo3Carattere">
    <w:name w:val="Titolo 3 Carattere"/>
    <w:basedOn w:val="Carpredefinitoparagrafo"/>
    <w:link w:val="Titolo3"/>
    <w:uiPriority w:val="99"/>
    <w:semiHidden/>
    <w:rsid w:val="00A671F8"/>
    <w:rPr>
      <w:rFonts w:asciiTheme="majorHAnsi" w:eastAsiaTheme="majorEastAsia" w:hAnsiTheme="majorHAnsi" w:cstheme="majorBidi"/>
      <w:b/>
      <w:bCs/>
      <w:color w:val="5F5F5F"/>
    </w:rPr>
  </w:style>
  <w:style w:type="paragraph" w:customStyle="1" w:styleId="JuParaLast">
    <w:name w:val="Ju_Para_Last"/>
    <w:basedOn w:val="Normale"/>
    <w:next w:val="Normale"/>
    <w:link w:val="JuParaLastChar"/>
    <w:uiPriority w:val="30"/>
    <w:qFormat/>
    <w:rsid w:val="006544C4"/>
    <w:pPr>
      <w:keepNext/>
      <w:keepLines/>
      <w:spacing w:before="240"/>
      <w:ind w:firstLine="284"/>
    </w:pPr>
  </w:style>
  <w:style w:type="paragraph" w:customStyle="1" w:styleId="DecList">
    <w:name w:val="Dec_List"/>
    <w:basedOn w:val="Normale"/>
    <w:link w:val="DecListChar"/>
    <w:uiPriority w:val="9"/>
    <w:qFormat/>
    <w:rsid w:val="006544C4"/>
    <w:pPr>
      <w:spacing w:before="240"/>
      <w:ind w:left="284"/>
    </w:pPr>
  </w:style>
  <w:style w:type="character" w:customStyle="1" w:styleId="Titolo4Carattere">
    <w:name w:val="Titolo 4 Carattere"/>
    <w:basedOn w:val="Carpredefinitoparagrafo"/>
    <w:link w:val="Titolo4"/>
    <w:uiPriority w:val="99"/>
    <w:semiHidden/>
    <w:rsid w:val="00A671F8"/>
    <w:rPr>
      <w:rFonts w:asciiTheme="majorHAnsi" w:eastAsiaTheme="majorEastAsia" w:hAnsiTheme="majorHAnsi" w:cstheme="majorBidi"/>
      <w:b/>
      <w:bCs/>
      <w:i/>
      <w:iCs/>
      <w:color w:val="777777"/>
    </w:rPr>
  </w:style>
  <w:style w:type="paragraph" w:customStyle="1" w:styleId="ECHRDecisionBody">
    <w:name w:val="ECHR_Decision_Body"/>
    <w:aliases w:val="Ju_Judges"/>
    <w:basedOn w:val="Normale"/>
    <w:uiPriority w:val="11"/>
    <w:qFormat/>
    <w:rsid w:val="006544C4"/>
    <w:pPr>
      <w:tabs>
        <w:tab w:val="left" w:pos="567"/>
        <w:tab w:val="left" w:pos="1134"/>
      </w:tabs>
      <w:jc w:val="left"/>
    </w:pPr>
  </w:style>
  <w:style w:type="character" w:customStyle="1" w:styleId="Titolo5Carattere">
    <w:name w:val="Titolo 5 Carattere"/>
    <w:basedOn w:val="Carpredefinitoparagrafo"/>
    <w:link w:val="Titolo5"/>
    <w:uiPriority w:val="99"/>
    <w:semiHidden/>
    <w:rsid w:val="006544C4"/>
    <w:rPr>
      <w:rFonts w:asciiTheme="majorHAnsi" w:eastAsiaTheme="majorEastAsia" w:hAnsiTheme="majorHAnsi" w:cstheme="majorBidi"/>
      <w:b/>
      <w:bCs/>
      <w:color w:val="808080"/>
    </w:rPr>
  </w:style>
  <w:style w:type="paragraph" w:customStyle="1" w:styleId="JuList">
    <w:name w:val="Ju_List"/>
    <w:basedOn w:val="Normale"/>
    <w:uiPriority w:val="28"/>
    <w:qFormat/>
    <w:rsid w:val="006544C4"/>
    <w:pPr>
      <w:ind w:left="340" w:hanging="340"/>
    </w:pPr>
  </w:style>
  <w:style w:type="paragraph" w:customStyle="1" w:styleId="JuLista">
    <w:name w:val="Ju_List_a"/>
    <w:basedOn w:val="JuList"/>
    <w:uiPriority w:val="28"/>
    <w:qFormat/>
    <w:rsid w:val="006544C4"/>
    <w:pPr>
      <w:ind w:left="346" w:firstLine="0"/>
    </w:pPr>
  </w:style>
  <w:style w:type="character" w:styleId="Enfasidelicata">
    <w:name w:val="Subtle Emphasis"/>
    <w:uiPriority w:val="99"/>
    <w:semiHidden/>
    <w:qFormat/>
    <w:rsid w:val="006544C4"/>
    <w:rPr>
      <w:i/>
      <w:iCs/>
    </w:rPr>
  </w:style>
  <w:style w:type="paragraph" w:customStyle="1" w:styleId="JuListi">
    <w:name w:val="Ju_List_i"/>
    <w:basedOn w:val="Normale"/>
    <w:next w:val="JuLista"/>
    <w:uiPriority w:val="28"/>
    <w:qFormat/>
    <w:rsid w:val="006544C4"/>
    <w:pPr>
      <w:ind w:left="794"/>
    </w:p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1">
    <w:name w:val="Opi_H_1"/>
    <w:basedOn w:val="ECHRHeading2"/>
    <w:uiPriority w:val="42"/>
    <w:semiHidden/>
    <w:qFormat/>
    <w:rsid w:val="006544C4"/>
    <w:pPr>
      <w:ind w:left="635" w:hanging="357"/>
      <w:outlineLvl w:val="2"/>
    </w:pPr>
  </w:style>
  <w:style w:type="paragraph" w:customStyle="1" w:styleId="OpiHa0">
    <w:name w:val="Opi_H_a"/>
    <w:basedOn w:val="ECHRHeading3"/>
    <w:uiPriority w:val="43"/>
    <w:semiHidden/>
    <w:qFormat/>
    <w:rsid w:val="006544C4"/>
    <w:pPr>
      <w:ind w:left="833" w:hanging="357"/>
      <w:outlineLvl w:val="3"/>
    </w:pPr>
    <w:rPr>
      <w:b/>
      <w:i w:val="0"/>
      <w:sz w:val="20"/>
    </w:rPr>
  </w:style>
  <w:style w:type="paragraph" w:customStyle="1" w:styleId="ECHRTitleCentre2">
    <w:name w:val="ECHR_Title_Centre_2"/>
    <w:aliases w:val="Dec_H_Case"/>
    <w:basedOn w:val="Normale"/>
    <w:next w:val="Normale"/>
    <w:link w:val="DecHCaseChar"/>
    <w:uiPriority w:val="8"/>
    <w:qFormat/>
    <w:rsid w:val="006544C4"/>
    <w:pPr>
      <w:spacing w:after="240"/>
      <w:jc w:val="center"/>
      <w:outlineLvl w:val="0"/>
    </w:pPr>
    <w:rPr>
      <w:rFonts w:asciiTheme="majorHAnsi" w:hAnsiTheme="majorHAnsi"/>
    </w:rPr>
  </w:style>
  <w:style w:type="character" w:styleId="Enfasicorsivo">
    <w:name w:val="Emphasis"/>
    <w:uiPriority w:val="99"/>
    <w:semiHidden/>
    <w:qFormat/>
    <w:rsid w:val="006544C4"/>
    <w:rPr>
      <w:b/>
      <w:bCs/>
      <w:i/>
      <w:iCs/>
      <w:spacing w:val="10"/>
      <w:bdr w:val="none" w:sz="0" w:space="0" w:color="auto"/>
      <w:shd w:val="clear" w:color="auto" w:fill="auto"/>
    </w:rPr>
  </w:style>
  <w:style w:type="paragraph" w:styleId="Pidipagina">
    <w:name w:val="footer"/>
    <w:basedOn w:val="Normale"/>
    <w:link w:val="PidipaginaCarattere"/>
    <w:uiPriority w:val="99"/>
    <w:semiHidden/>
    <w:rsid w:val="00941747"/>
    <w:pPr>
      <w:tabs>
        <w:tab w:val="center" w:pos="4536"/>
        <w:tab w:val="right" w:pos="9696"/>
      </w:tabs>
      <w:ind w:left="-680" w:right="-680"/>
    </w:pPr>
  </w:style>
  <w:style w:type="character" w:customStyle="1" w:styleId="PidipaginaCarattere">
    <w:name w:val="Piè di pagina Carattere"/>
    <w:basedOn w:val="Carpredefinitoparagrafo"/>
    <w:link w:val="Pidipagina"/>
    <w:uiPriority w:val="57"/>
    <w:semiHidden/>
    <w:rsid w:val="008D4752"/>
  </w:style>
  <w:style w:type="character" w:styleId="Rimandonotaapidipagina">
    <w:name w:val="footnote reference"/>
    <w:basedOn w:val="Carpredefinitoparagrafo"/>
    <w:semiHidden/>
    <w:rsid w:val="00941747"/>
    <w:rPr>
      <w:vertAlign w:val="superscript"/>
    </w:rPr>
  </w:style>
  <w:style w:type="paragraph" w:styleId="Testonotaapidipagina">
    <w:name w:val="footnote text"/>
    <w:basedOn w:val="Normale"/>
    <w:link w:val="TestonotaapidipaginaCarattere"/>
    <w:uiPriority w:val="99"/>
    <w:semiHidden/>
    <w:rsid w:val="00941747"/>
    <w:rPr>
      <w:sz w:val="20"/>
      <w:szCs w:val="20"/>
    </w:rPr>
  </w:style>
  <w:style w:type="character" w:customStyle="1" w:styleId="TestonotaapidipaginaCarattere">
    <w:name w:val="Testo nota a piè di pagina Carattere"/>
    <w:basedOn w:val="Carpredefinitoparagrafo"/>
    <w:link w:val="Testonotaapidipagina"/>
    <w:uiPriority w:val="99"/>
    <w:semiHidden/>
    <w:rsid w:val="00A671F8"/>
    <w:rPr>
      <w:rFonts w:eastAsiaTheme="minorEastAsia"/>
      <w:sz w:val="20"/>
      <w:szCs w:val="20"/>
    </w:rPr>
  </w:style>
  <w:style w:type="character" w:customStyle="1" w:styleId="Titolo6Carattere">
    <w:name w:val="Titolo 6 Carattere"/>
    <w:basedOn w:val="Carpredefinitoparagrafo"/>
    <w:link w:val="Titolo6"/>
    <w:uiPriority w:val="99"/>
    <w:semiHidden/>
    <w:rsid w:val="00A671F8"/>
    <w:rPr>
      <w:rFonts w:asciiTheme="majorHAnsi" w:eastAsiaTheme="majorEastAsia" w:hAnsiTheme="majorHAnsi" w:cstheme="majorBidi"/>
      <w:b/>
      <w:bCs/>
      <w:i/>
      <w:iCs/>
      <w:color w:val="7F7F7F" w:themeColor="text1" w:themeTint="80"/>
      <w:lang w:bidi="en-US"/>
    </w:rPr>
  </w:style>
  <w:style w:type="character" w:customStyle="1" w:styleId="Titolo7Carattere">
    <w:name w:val="Titolo 7 Carattere"/>
    <w:basedOn w:val="Carpredefinitoparagrafo"/>
    <w:link w:val="Titolo7"/>
    <w:uiPriority w:val="99"/>
    <w:semiHidden/>
    <w:rsid w:val="006544C4"/>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6544C4"/>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6544C4"/>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941747"/>
    <w:rPr>
      <w:color w:val="0072BC" w:themeColor="hyperlink"/>
      <w:u w:val="single"/>
    </w:rPr>
  </w:style>
  <w:style w:type="character" w:styleId="Enfasiintensa">
    <w:name w:val="Intense Emphasis"/>
    <w:uiPriority w:val="99"/>
    <w:semiHidden/>
    <w:qFormat/>
    <w:rsid w:val="006544C4"/>
    <w:rPr>
      <w:b/>
      <w:bCs/>
    </w:rPr>
  </w:style>
  <w:style w:type="paragraph" w:styleId="Citazioneintensa">
    <w:name w:val="Intense Quote"/>
    <w:basedOn w:val="Normale"/>
    <w:next w:val="Normale"/>
    <w:link w:val="CitazioneintensaCarattere"/>
    <w:uiPriority w:val="99"/>
    <w:semiHidden/>
    <w:qFormat/>
    <w:rsid w:val="006544C4"/>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6544C4"/>
    <w:rPr>
      <w:rFonts w:eastAsiaTheme="minorEastAsia"/>
      <w:b/>
      <w:bCs/>
      <w:i/>
      <w:iCs/>
      <w:lang w:bidi="en-US"/>
    </w:rPr>
  </w:style>
  <w:style w:type="character" w:styleId="Riferimentointenso">
    <w:name w:val="Intense Reference"/>
    <w:uiPriority w:val="99"/>
    <w:semiHidden/>
    <w:qFormat/>
    <w:rsid w:val="006544C4"/>
    <w:rPr>
      <w:smallCaps/>
      <w:spacing w:val="5"/>
      <w:u w:val="single"/>
    </w:rPr>
  </w:style>
  <w:style w:type="paragraph" w:styleId="Paragrafoelenco">
    <w:name w:val="List Paragraph"/>
    <w:basedOn w:val="Normale"/>
    <w:uiPriority w:val="99"/>
    <w:semiHidden/>
    <w:qFormat/>
    <w:rsid w:val="006544C4"/>
    <w:pPr>
      <w:ind w:left="720"/>
      <w:contextualSpacing/>
    </w:pPr>
  </w:style>
  <w:style w:type="table" w:customStyle="1" w:styleId="LtrTableAddress">
    <w:name w:val="Ltr_Table_Address"/>
    <w:basedOn w:val="Tabellanormale"/>
    <w:uiPriority w:val="99"/>
    <w:rsid w:val="001E6F32"/>
    <w:tblPr>
      <w:tblInd w:w="5103" w:type="dxa"/>
      <w:tblCellMar>
        <w:top w:w="0" w:type="dxa"/>
        <w:left w:w="108" w:type="dxa"/>
        <w:bottom w:w="0" w:type="dxa"/>
        <w:right w:w="108" w:type="dxa"/>
      </w:tblCellMar>
    </w:tblPr>
  </w:style>
  <w:style w:type="paragraph" w:styleId="Citazione">
    <w:name w:val="Quote"/>
    <w:basedOn w:val="Normale"/>
    <w:next w:val="Normale"/>
    <w:link w:val="CitazioneCarattere"/>
    <w:uiPriority w:val="99"/>
    <w:semiHidden/>
    <w:qFormat/>
    <w:rsid w:val="006544C4"/>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6544C4"/>
    <w:rPr>
      <w:rFonts w:eastAsiaTheme="minorEastAsia"/>
      <w:i/>
      <w:iCs/>
      <w:lang w:bidi="en-US"/>
    </w:rPr>
  </w:style>
  <w:style w:type="character" w:styleId="Riferimentodelicato">
    <w:name w:val="Subtle Reference"/>
    <w:uiPriority w:val="99"/>
    <w:semiHidden/>
    <w:qFormat/>
    <w:rsid w:val="006544C4"/>
    <w:rPr>
      <w:smallCaps/>
    </w:rPr>
  </w:style>
  <w:style w:type="table" w:styleId="Grigliatabella">
    <w:name w:val="Table Grid"/>
    <w:basedOn w:val="Tabellanormale"/>
    <w:uiPriority w:val="99"/>
    <w:semiHidden/>
    <w:rsid w:val="00941747"/>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mmario1">
    <w:name w:val="toc 1"/>
    <w:basedOn w:val="Normale"/>
    <w:next w:val="Normale"/>
    <w:autoRedefine/>
    <w:uiPriority w:val="99"/>
    <w:semiHidden/>
    <w:rsid w:val="00EA185E"/>
    <w:pPr>
      <w:spacing w:before="120" w:after="60"/>
      <w:ind w:left="340" w:right="340" w:hanging="340"/>
    </w:pPr>
    <w:rPr>
      <w:color w:val="0D0D0D" w:themeColor="text1" w:themeTint="F2"/>
    </w:rPr>
  </w:style>
  <w:style w:type="paragraph" w:styleId="Sommario2">
    <w:name w:val="toc 2"/>
    <w:basedOn w:val="Normale"/>
    <w:next w:val="Normale"/>
    <w:autoRedefine/>
    <w:uiPriority w:val="99"/>
    <w:semiHidden/>
    <w:rsid w:val="00EA185E"/>
    <w:pPr>
      <w:spacing w:after="60"/>
      <w:ind w:left="680" w:right="340" w:hanging="340"/>
    </w:pPr>
  </w:style>
  <w:style w:type="paragraph" w:styleId="Sommario3">
    <w:name w:val="toc 3"/>
    <w:basedOn w:val="Normale"/>
    <w:next w:val="Normale"/>
    <w:autoRedefine/>
    <w:uiPriority w:val="99"/>
    <w:semiHidden/>
    <w:rsid w:val="00EA185E"/>
    <w:pPr>
      <w:spacing w:after="60"/>
      <w:ind w:left="1020" w:right="340" w:hanging="340"/>
    </w:pPr>
  </w:style>
  <w:style w:type="paragraph" w:styleId="Sommario4">
    <w:name w:val="toc 4"/>
    <w:basedOn w:val="Normale"/>
    <w:next w:val="Normale"/>
    <w:autoRedefine/>
    <w:uiPriority w:val="99"/>
    <w:semiHidden/>
    <w:rsid w:val="00EA185E"/>
    <w:pPr>
      <w:tabs>
        <w:tab w:val="right" w:leader="dot" w:pos="9017"/>
      </w:tabs>
      <w:spacing w:after="60"/>
      <w:ind w:left="1361" w:right="340" w:hanging="340"/>
    </w:pPr>
  </w:style>
  <w:style w:type="paragraph" w:styleId="Sommario5">
    <w:name w:val="toc 5"/>
    <w:basedOn w:val="Normale"/>
    <w:next w:val="Normale"/>
    <w:autoRedefine/>
    <w:uiPriority w:val="99"/>
    <w:semiHidden/>
    <w:rsid w:val="00B46543"/>
    <w:pPr>
      <w:spacing w:after="60"/>
      <w:ind w:left="1701" w:right="340" w:hanging="340"/>
    </w:pPr>
  </w:style>
  <w:style w:type="paragraph" w:styleId="Titolosommario">
    <w:name w:val="TOC Heading"/>
    <w:basedOn w:val="Titolo1"/>
    <w:next w:val="Normale"/>
    <w:uiPriority w:val="99"/>
    <w:semiHidden/>
    <w:qFormat/>
    <w:rsid w:val="006544C4"/>
    <w:pPr>
      <w:outlineLvl w:val="9"/>
    </w:pPr>
    <w:rPr>
      <w:color w:val="474747" w:themeColor="accent3" w:themeShade="BF"/>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Tabellanormale"/>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C333A0"/>
    <w:pPr>
      <w:spacing w:before="120"/>
    </w:pPr>
    <w:rPr>
      <w:rFonts w:asciiTheme="majorHAnsi" w:eastAsiaTheme="majorEastAsia" w:hAnsiTheme="majorHAnsi" w:cstheme="majorBidi"/>
      <w:b/>
      <w:bCs/>
      <w:color w:val="474747" w:themeColor="accent3" w:themeShade="BF"/>
      <w:szCs w:val="24"/>
    </w:rPr>
  </w:style>
  <w:style w:type="paragraph" w:customStyle="1" w:styleId="OpiHi">
    <w:name w:val="Opi_H_i"/>
    <w:basedOn w:val="ECHRHeading4"/>
    <w:uiPriority w:val="44"/>
    <w:semiHidden/>
    <w:qFormat/>
    <w:rsid w:val="006544C4"/>
    <w:pPr>
      <w:ind w:left="1037" w:hanging="357"/>
      <w:outlineLvl w:val="4"/>
    </w:pPr>
    <w:rPr>
      <w:b w:val="0"/>
      <w:i/>
    </w:rPr>
  </w:style>
  <w:style w:type="paragraph" w:customStyle="1" w:styleId="DummyStyle">
    <w:name w:val="Dummy_Style"/>
    <w:basedOn w:val="Normale"/>
    <w:semiHidden/>
    <w:qFormat/>
    <w:rsid w:val="006544C4"/>
    <w:rPr>
      <w:color w:val="00B050"/>
      <w:lang w:bidi="en-US"/>
    </w:rPr>
  </w:style>
  <w:style w:type="paragraph" w:styleId="Sottotitolo">
    <w:name w:val="Subtitle"/>
    <w:basedOn w:val="Normale"/>
    <w:next w:val="Normale"/>
    <w:link w:val="SottotitoloCarattere"/>
    <w:uiPriority w:val="99"/>
    <w:semiHidden/>
    <w:qFormat/>
    <w:rsid w:val="006544C4"/>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Para"/>
    <w:basedOn w:val="Normale"/>
    <w:link w:val="ECHRParaChar"/>
    <w:qFormat/>
    <w:rsid w:val="004047FE"/>
    <w:pPr>
      <w:ind w:firstLine="284"/>
    </w:pPr>
  </w:style>
  <w:style w:type="character" w:customStyle="1" w:styleId="SottotitoloCarattere">
    <w:name w:val="Sottotitolo Carattere"/>
    <w:basedOn w:val="Carpredefinitoparagrafo"/>
    <w:link w:val="Sottotitolo"/>
    <w:uiPriority w:val="99"/>
    <w:semiHidden/>
    <w:rsid w:val="006544C4"/>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ellanormale"/>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Tabellanormale"/>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6544C4"/>
    <w:pPr>
      <w:numPr>
        <w:numId w:val="12"/>
      </w:numPr>
    </w:p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520BAA"/>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semiHidden/>
    <w:unhideWhenUsed/>
    <w:rsid w:val="006544C4"/>
    <w:pPr>
      <w:numPr>
        <w:numId w:val="13"/>
      </w:numPr>
    </w:pPr>
  </w:style>
  <w:style w:type="numbering" w:styleId="ArticoloSezione">
    <w:name w:val="Outline List 3"/>
    <w:basedOn w:val="Nessunelenco"/>
    <w:uiPriority w:val="99"/>
    <w:semiHidden/>
    <w:unhideWhenUsed/>
    <w:rsid w:val="006544C4"/>
    <w:pPr>
      <w:numPr>
        <w:numId w:val="14"/>
      </w:numPr>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9"/>
    <w:semiHidden/>
    <w:rsid w:val="006544C4"/>
  </w:style>
  <w:style w:type="paragraph" w:styleId="Testodelblocco">
    <w:name w:val="Block Text"/>
    <w:basedOn w:val="Normale"/>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ellanormale"/>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semiHidden/>
    <w:rsid w:val="006544C4"/>
    <w:pPr>
      <w:spacing w:after="120"/>
    </w:pPr>
  </w:style>
  <w:style w:type="table" w:customStyle="1" w:styleId="ECHRHeaderTableReduced">
    <w:name w:val="ECHR_Header_Table_Reduced"/>
    <w:basedOn w:val="Tabellanormale"/>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basedOn w:val="Carpredefinitoparagrafo"/>
    <w:uiPriority w:val="99"/>
    <w:semiHidden/>
    <w:qFormat/>
    <w:rsid w:val="006544C4"/>
    <w:rPr>
      <w:rFonts w:ascii="Times New Roman" w:hAnsi="Times New Roman" w:cs="Times New Roman"/>
      <w:sz w:val="18"/>
    </w:rPr>
  </w:style>
  <w:style w:type="character" w:styleId="Rimandocommento">
    <w:name w:val="annotation reference"/>
    <w:basedOn w:val="Carpredefinitoparagrafo"/>
    <w:semiHidden/>
    <w:rsid w:val="006544C4"/>
    <w:rPr>
      <w:sz w:val="16"/>
    </w:rPr>
  </w:style>
  <w:style w:type="paragraph" w:styleId="Testocommento">
    <w:name w:val="annotation text"/>
    <w:basedOn w:val="Normale"/>
    <w:link w:val="TestocommentoCarattere"/>
    <w:semiHidden/>
    <w:rsid w:val="006544C4"/>
    <w:rPr>
      <w:sz w:val="20"/>
    </w:rPr>
  </w:style>
  <w:style w:type="character" w:customStyle="1" w:styleId="TestocommentoCarattere">
    <w:name w:val="Testo commento Carattere"/>
    <w:basedOn w:val="Carpredefinitoparagrafo"/>
    <w:link w:val="Testocommento"/>
    <w:uiPriority w:val="99"/>
    <w:semiHidden/>
    <w:rsid w:val="006544C4"/>
    <w:rPr>
      <w:rFonts w:eastAsiaTheme="minorEastAsia"/>
      <w:sz w:val="20"/>
    </w:rPr>
  </w:style>
  <w:style w:type="paragraph" w:customStyle="1" w:styleId="JuSigned">
    <w:name w:val="Ju_Signed"/>
    <w:basedOn w:val="Normale"/>
    <w:next w:val="JuParaLast"/>
    <w:link w:val="JuSignedChar"/>
    <w:uiPriority w:val="32"/>
    <w:qFormat/>
    <w:rsid w:val="006544C4"/>
    <w:pPr>
      <w:tabs>
        <w:tab w:val="center" w:pos="851"/>
        <w:tab w:val="center" w:pos="6407"/>
      </w:tabs>
      <w:spacing w:before="720"/>
      <w:jc w:val="left"/>
    </w:pPr>
  </w:style>
  <w:style w:type="paragraph" w:customStyle="1" w:styleId="JuTitle">
    <w:name w:val="Ju_Title"/>
    <w:basedOn w:val="Normale"/>
    <w:next w:val="Normale"/>
    <w:link w:val="JuTitleChar"/>
    <w:qFormat/>
    <w:rsid w:val="006544C4"/>
    <w:pPr>
      <w:spacing w:before="720" w:after="240"/>
      <w:jc w:val="center"/>
      <w:outlineLvl w:val="0"/>
    </w:pPr>
    <w:rPr>
      <w:rFonts w:asciiTheme="majorHAnsi" w:hAnsiTheme="majorHAnsi"/>
      <w:b/>
      <w:caps/>
    </w:rPr>
  </w:style>
  <w:style w:type="paragraph" w:customStyle="1" w:styleId="DecHTitle">
    <w:name w:val="Dec_H_Title"/>
    <w:basedOn w:val="ECHRTitleCentre1"/>
    <w:link w:val="DecHTitleChar"/>
    <w:uiPriority w:val="7"/>
    <w:qFormat/>
    <w:rsid w:val="006544C4"/>
  </w:style>
  <w:style w:type="paragraph" w:styleId="Puntoelenco2">
    <w:name w:val="List Bullet 2"/>
    <w:basedOn w:val="Normale"/>
    <w:uiPriority w:val="99"/>
    <w:semiHidden/>
    <w:rsid w:val="006544C4"/>
    <w:pPr>
      <w:numPr>
        <w:numId w:val="8"/>
      </w:numPr>
      <w:contextualSpacing/>
    </w:pPr>
  </w:style>
  <w:style w:type="paragraph" w:styleId="Puntoelenco3">
    <w:name w:val="List Bullet 3"/>
    <w:basedOn w:val="Normale"/>
    <w:semiHidden/>
    <w:rsid w:val="006544C4"/>
    <w:pPr>
      <w:numPr>
        <w:numId w:val="9"/>
      </w:numPr>
      <w:contextualSpacing/>
    </w:pPr>
  </w:style>
  <w:style w:type="character" w:customStyle="1" w:styleId="CorpotestoCarattere">
    <w:name w:val="Corpo testo Carattere"/>
    <w:basedOn w:val="Carpredefinitoparagrafo"/>
    <w:link w:val="Corpotesto"/>
    <w:rsid w:val="006544C4"/>
    <w:rPr>
      <w:rFonts w:eastAsiaTheme="minorEastAsia"/>
      <w:sz w:val="24"/>
    </w:rPr>
  </w:style>
  <w:style w:type="paragraph" w:styleId="Corpodeltesto2">
    <w:name w:val="Body Text 2"/>
    <w:basedOn w:val="Normale"/>
    <w:link w:val="Corpodeltesto2Carattere"/>
    <w:uiPriority w:val="99"/>
    <w:semiHidden/>
    <w:rsid w:val="006544C4"/>
    <w:pPr>
      <w:spacing w:after="120" w:line="480" w:lineRule="auto"/>
    </w:pPr>
  </w:style>
  <w:style w:type="character" w:customStyle="1" w:styleId="Corpodeltesto2Carattere">
    <w:name w:val="Corpo del testo 2 Carattere"/>
    <w:basedOn w:val="Carpredefinitoparagrafo"/>
    <w:link w:val="Corpodeltesto2"/>
    <w:rsid w:val="006544C4"/>
    <w:rPr>
      <w:rFonts w:eastAsiaTheme="minorEastAsia"/>
      <w:sz w:val="24"/>
    </w:rPr>
  </w:style>
  <w:style w:type="paragraph" w:styleId="Corpodeltesto3">
    <w:name w:val="Body Text 3"/>
    <w:basedOn w:val="Normale"/>
    <w:link w:val="Corpodeltesto3Carattere"/>
    <w:uiPriority w:val="99"/>
    <w:semiHidden/>
    <w:rsid w:val="006544C4"/>
    <w:pPr>
      <w:spacing w:after="120"/>
    </w:pPr>
    <w:rPr>
      <w:sz w:val="16"/>
      <w:szCs w:val="16"/>
    </w:rPr>
  </w:style>
  <w:style w:type="character" w:customStyle="1" w:styleId="Corpodeltesto3Carattere">
    <w:name w:val="Corpo del testo 3 Carattere"/>
    <w:basedOn w:val="Carpredefinitoparagrafo"/>
    <w:link w:val="Corpodeltesto3"/>
    <w:rsid w:val="006544C4"/>
    <w:rPr>
      <w:rFonts w:eastAsiaTheme="minorEastAsia"/>
      <w:sz w:val="16"/>
      <w:szCs w:val="16"/>
    </w:rPr>
  </w:style>
  <w:style w:type="paragraph" w:styleId="Primorientrocorpodeltesto">
    <w:name w:val="Body Text First Indent"/>
    <w:basedOn w:val="Corpotesto"/>
    <w:link w:val="PrimorientrocorpodeltestoCarattere"/>
    <w:uiPriority w:val="99"/>
    <w:semiHidden/>
    <w:rsid w:val="006544C4"/>
    <w:pPr>
      <w:spacing w:after="0"/>
      <w:ind w:firstLine="360"/>
    </w:pPr>
  </w:style>
  <w:style w:type="character" w:customStyle="1" w:styleId="PrimorientrocorpodeltestoCarattere">
    <w:name w:val="Primo rientro corpo del testo Carattere"/>
    <w:basedOn w:val="CorpotestoCarattere"/>
    <w:link w:val="Primorientrocorpodeltesto"/>
    <w:rsid w:val="006544C4"/>
    <w:rPr>
      <w:rFonts w:eastAsiaTheme="minorEastAsia"/>
      <w:sz w:val="24"/>
    </w:rPr>
  </w:style>
  <w:style w:type="paragraph" w:styleId="Rientrocorpodeltesto">
    <w:name w:val="Body Text Indent"/>
    <w:basedOn w:val="Normale"/>
    <w:link w:val="RientrocorpodeltestoCarattere"/>
    <w:uiPriority w:val="99"/>
    <w:semiHidden/>
    <w:rsid w:val="006544C4"/>
    <w:pPr>
      <w:spacing w:after="120"/>
      <w:ind w:left="283"/>
    </w:pPr>
  </w:style>
  <w:style w:type="character" w:customStyle="1" w:styleId="RientrocorpodeltestoCarattere">
    <w:name w:val="Rientro corpo del testo Carattere"/>
    <w:basedOn w:val="Carpredefinitoparagrafo"/>
    <w:link w:val="Rientrocorpodeltesto"/>
    <w:rsid w:val="006544C4"/>
    <w:rPr>
      <w:rFonts w:eastAsiaTheme="minorEastAsia"/>
      <w:sz w:val="24"/>
    </w:rPr>
  </w:style>
  <w:style w:type="paragraph" w:styleId="Primorientrocorpodeltesto2">
    <w:name w:val="Body Text First Indent 2"/>
    <w:basedOn w:val="Rientrocorpodeltesto"/>
    <w:link w:val="Primorientrocorpodeltesto2Carattere"/>
    <w:semiHidden/>
    <w:rsid w:val="006544C4"/>
    <w:pPr>
      <w:spacing w:after="0"/>
      <w:ind w:left="360" w:firstLine="360"/>
    </w:pPr>
  </w:style>
  <w:style w:type="character" w:customStyle="1" w:styleId="Primorientrocorpodeltesto2Carattere">
    <w:name w:val="Primo rientro corpo del testo 2 Carattere"/>
    <w:basedOn w:val="RientrocorpodeltestoCarattere"/>
    <w:link w:val="Primorientrocorpodeltesto2"/>
    <w:rsid w:val="006544C4"/>
    <w:rPr>
      <w:rFonts w:eastAsiaTheme="minorEastAsia"/>
      <w:sz w:val="24"/>
    </w:rPr>
  </w:style>
  <w:style w:type="paragraph" w:styleId="Rientrocorpodeltesto2">
    <w:name w:val="Body Text Indent 2"/>
    <w:basedOn w:val="Normale"/>
    <w:link w:val="Rientrocorpodeltesto2Carattere"/>
    <w:semiHidden/>
    <w:rsid w:val="006544C4"/>
    <w:pPr>
      <w:spacing w:after="120" w:line="480" w:lineRule="auto"/>
      <w:ind w:left="283"/>
    </w:pPr>
  </w:style>
  <w:style w:type="character" w:customStyle="1" w:styleId="Rientrocorpodeltesto2Carattere">
    <w:name w:val="Rientro corpo del testo 2 Carattere"/>
    <w:basedOn w:val="Carpredefinitoparagrafo"/>
    <w:link w:val="Rientrocorpodeltesto2"/>
    <w:rsid w:val="006544C4"/>
    <w:rPr>
      <w:rFonts w:eastAsiaTheme="minorEastAsia"/>
      <w:sz w:val="24"/>
    </w:rPr>
  </w:style>
  <w:style w:type="paragraph" w:styleId="Rientrocorpodeltesto3">
    <w:name w:val="Body Text Indent 3"/>
    <w:basedOn w:val="Normale"/>
    <w:link w:val="Rientrocorpodeltesto3Carattere"/>
    <w:uiPriority w:val="99"/>
    <w:semiHidden/>
    <w:rsid w:val="006544C4"/>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6544C4"/>
    <w:rPr>
      <w:rFonts w:eastAsiaTheme="minorEastAsia"/>
      <w:sz w:val="16"/>
      <w:szCs w:val="16"/>
    </w:rPr>
  </w:style>
  <w:style w:type="paragraph" w:styleId="Didascalia">
    <w:name w:val="caption"/>
    <w:basedOn w:val="Normale"/>
    <w:next w:val="Normale"/>
    <w:uiPriority w:val="99"/>
    <w:semiHidden/>
    <w:qFormat/>
    <w:rsid w:val="006544C4"/>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6544C4"/>
    <w:pPr>
      <w:ind w:left="4252"/>
    </w:pPr>
  </w:style>
  <w:style w:type="character" w:customStyle="1" w:styleId="FormuladichiusuraCarattere">
    <w:name w:val="Formula di chiusura Carattere"/>
    <w:basedOn w:val="Carpredefinitoparagrafo"/>
    <w:link w:val="Formuladichiusura"/>
    <w:rsid w:val="006544C4"/>
    <w:rPr>
      <w:rFonts w:eastAsiaTheme="minorEastAsia"/>
      <w:sz w:val="24"/>
    </w:rPr>
  </w:style>
  <w:style w:type="table" w:styleId="Grigliaacolori">
    <w:name w:val="Colorful Grid"/>
    <w:basedOn w:val="Tabellanormale"/>
    <w:uiPriority w:val="99"/>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6544C4"/>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6544C4"/>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6544C4"/>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6544C4"/>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6544C4"/>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6544C4"/>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6544C4"/>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semiHidden/>
    <w:rsid w:val="006544C4"/>
    <w:rPr>
      <w:b/>
      <w:bCs/>
      <w:szCs w:val="20"/>
    </w:rPr>
  </w:style>
  <w:style w:type="character" w:customStyle="1" w:styleId="SoggettocommentoCarattere">
    <w:name w:val="Soggetto commento Carattere"/>
    <w:basedOn w:val="TestocommentoCarattere"/>
    <w:link w:val="Soggettocommento"/>
    <w:uiPriority w:val="99"/>
    <w:semiHidden/>
    <w:rsid w:val="006544C4"/>
    <w:rPr>
      <w:rFonts w:eastAsiaTheme="minorEastAsia"/>
      <w:b/>
      <w:bCs/>
      <w:sz w:val="20"/>
      <w:szCs w:val="20"/>
    </w:rPr>
  </w:style>
  <w:style w:type="table" w:styleId="Elencoscuro">
    <w:name w:val="Dark List"/>
    <w:basedOn w:val="Tabellanormale"/>
    <w:uiPriority w:val="99"/>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6544C4"/>
  </w:style>
  <w:style w:type="character" w:customStyle="1" w:styleId="DataCarattere">
    <w:name w:val="Data Carattere"/>
    <w:basedOn w:val="Carpredefinitoparagrafo"/>
    <w:link w:val="Data"/>
    <w:rsid w:val="006544C4"/>
    <w:rPr>
      <w:rFonts w:eastAsiaTheme="minorEastAsia"/>
      <w:sz w:val="24"/>
    </w:rPr>
  </w:style>
  <w:style w:type="paragraph" w:styleId="Mappadocumento">
    <w:name w:val="Document Map"/>
    <w:basedOn w:val="Normale"/>
    <w:link w:val="MappadocumentoCarattere"/>
    <w:semiHidden/>
    <w:rsid w:val="006544C4"/>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6544C4"/>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6544C4"/>
  </w:style>
  <w:style w:type="character" w:customStyle="1" w:styleId="FirmadipostaelettronicaCarattere">
    <w:name w:val="Firma di posta elettronica Carattere"/>
    <w:basedOn w:val="Carpredefinitoparagrafo"/>
    <w:link w:val="Firmadipostaelettronica"/>
    <w:rsid w:val="006544C4"/>
    <w:rPr>
      <w:rFonts w:eastAsiaTheme="minorEastAsia"/>
      <w:sz w:val="24"/>
    </w:rPr>
  </w:style>
  <w:style w:type="character" w:styleId="Rimandonotadichiusura">
    <w:name w:val="endnote reference"/>
    <w:basedOn w:val="Carpredefinitoparagrafo"/>
    <w:semiHidden/>
    <w:rsid w:val="006544C4"/>
    <w:rPr>
      <w:vertAlign w:val="superscript"/>
    </w:rPr>
  </w:style>
  <w:style w:type="paragraph" w:styleId="Testonotadichiusura">
    <w:name w:val="endnote text"/>
    <w:basedOn w:val="Normale"/>
    <w:link w:val="TestonotadichiusuraCarattere"/>
    <w:uiPriority w:val="99"/>
    <w:semiHidden/>
    <w:rsid w:val="006544C4"/>
    <w:rPr>
      <w:sz w:val="20"/>
      <w:szCs w:val="20"/>
    </w:rPr>
  </w:style>
  <w:style w:type="character" w:customStyle="1" w:styleId="TestonotadichiusuraCarattere">
    <w:name w:val="Testo nota di chiusura Carattere"/>
    <w:basedOn w:val="Carpredefinitoparagrafo"/>
    <w:link w:val="Testonotadichiusura"/>
    <w:uiPriority w:val="99"/>
    <w:semiHidden/>
    <w:rsid w:val="006544C4"/>
    <w:rPr>
      <w:rFonts w:eastAsiaTheme="minorEastAsia"/>
      <w:sz w:val="20"/>
      <w:szCs w:val="20"/>
    </w:rPr>
  </w:style>
  <w:style w:type="paragraph" w:styleId="Indirizzodestinatario">
    <w:name w:val="envelope address"/>
    <w:basedOn w:val="Normale"/>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semiHidden/>
    <w:rsid w:val="006544C4"/>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6544C4"/>
    <w:rPr>
      <w:color w:val="7030A0" w:themeColor="followedHyperlink"/>
      <w:u w:val="single"/>
    </w:rPr>
  </w:style>
  <w:style w:type="character" w:styleId="AcronimoHTML">
    <w:name w:val="HTML Acronym"/>
    <w:basedOn w:val="Carpredefinitoparagrafo"/>
    <w:uiPriority w:val="99"/>
    <w:semiHidden/>
    <w:rsid w:val="006544C4"/>
  </w:style>
  <w:style w:type="paragraph" w:styleId="IndirizzoHTML">
    <w:name w:val="HTML Address"/>
    <w:basedOn w:val="Normale"/>
    <w:link w:val="IndirizzoHTMLCarattere"/>
    <w:semiHidden/>
    <w:rsid w:val="006544C4"/>
    <w:rPr>
      <w:i/>
      <w:iCs/>
    </w:rPr>
  </w:style>
  <w:style w:type="character" w:customStyle="1" w:styleId="IndirizzoHTMLCarattere">
    <w:name w:val="Indirizzo HTML Carattere"/>
    <w:basedOn w:val="Carpredefinitoparagrafo"/>
    <w:link w:val="IndirizzoHTML"/>
    <w:rsid w:val="006544C4"/>
    <w:rPr>
      <w:rFonts w:eastAsiaTheme="minorEastAsia"/>
      <w:i/>
      <w:iCs/>
      <w:sz w:val="24"/>
    </w:rPr>
  </w:style>
  <w:style w:type="character" w:styleId="CitazioneHTML">
    <w:name w:val="HTML Cite"/>
    <w:basedOn w:val="Carpredefinitoparagrafo"/>
    <w:uiPriority w:val="99"/>
    <w:semiHidden/>
    <w:rsid w:val="006544C4"/>
    <w:rPr>
      <w:i/>
      <w:iCs/>
    </w:rPr>
  </w:style>
  <w:style w:type="character" w:styleId="CodiceHTML">
    <w:name w:val="HTML Code"/>
    <w:basedOn w:val="Carpredefinitoparagrafo"/>
    <w:uiPriority w:val="99"/>
    <w:semiHidden/>
    <w:rsid w:val="006544C4"/>
    <w:rPr>
      <w:rFonts w:ascii="Consolas" w:hAnsi="Consolas" w:cs="Consolas"/>
      <w:sz w:val="20"/>
      <w:szCs w:val="20"/>
    </w:rPr>
  </w:style>
  <w:style w:type="character" w:styleId="DefinizioneHTML">
    <w:name w:val="HTML Definition"/>
    <w:basedOn w:val="Carpredefinitoparagrafo"/>
    <w:uiPriority w:val="99"/>
    <w:semiHidden/>
    <w:rsid w:val="006544C4"/>
    <w:rPr>
      <w:i/>
      <w:iCs/>
    </w:rPr>
  </w:style>
  <w:style w:type="character" w:styleId="TastieraHTML">
    <w:name w:val="HTML Keyboard"/>
    <w:basedOn w:val="Carpredefinitoparagrafo"/>
    <w:semiHidden/>
    <w:rsid w:val="006544C4"/>
    <w:rPr>
      <w:rFonts w:ascii="Consolas" w:hAnsi="Consolas" w:cs="Consolas"/>
      <w:sz w:val="20"/>
      <w:szCs w:val="20"/>
    </w:rPr>
  </w:style>
  <w:style w:type="paragraph" w:styleId="PreformattatoHTML">
    <w:name w:val="HTML Preformatted"/>
    <w:basedOn w:val="Normale"/>
    <w:link w:val="PreformattatoHTMLCarattere"/>
    <w:uiPriority w:val="99"/>
    <w:semiHidden/>
    <w:rsid w:val="006544C4"/>
    <w:rPr>
      <w:rFonts w:ascii="Consolas" w:hAnsi="Consolas" w:cs="Consolas"/>
      <w:sz w:val="20"/>
      <w:szCs w:val="20"/>
    </w:rPr>
  </w:style>
  <w:style w:type="character" w:customStyle="1" w:styleId="PreformattatoHTMLCarattere">
    <w:name w:val="Preformattato HTML Carattere"/>
    <w:basedOn w:val="Carpredefinitoparagrafo"/>
    <w:link w:val="PreformattatoHTML"/>
    <w:rsid w:val="006544C4"/>
    <w:rPr>
      <w:rFonts w:ascii="Consolas" w:eastAsiaTheme="minorEastAsia" w:hAnsi="Consolas" w:cs="Consolas"/>
      <w:sz w:val="20"/>
      <w:szCs w:val="20"/>
    </w:rPr>
  </w:style>
  <w:style w:type="character" w:styleId="EsempioHTML">
    <w:name w:val="HTML Sample"/>
    <w:basedOn w:val="Carpredefinitoparagrafo"/>
    <w:semiHidden/>
    <w:rsid w:val="006544C4"/>
    <w:rPr>
      <w:rFonts w:ascii="Consolas" w:hAnsi="Consolas" w:cs="Consolas"/>
      <w:sz w:val="24"/>
      <w:szCs w:val="24"/>
    </w:rPr>
  </w:style>
  <w:style w:type="character" w:styleId="MacchinadascrivereHTML">
    <w:name w:val="HTML Typewriter"/>
    <w:basedOn w:val="Carpredefinitoparagrafo"/>
    <w:uiPriority w:val="99"/>
    <w:semiHidden/>
    <w:rsid w:val="006544C4"/>
    <w:rPr>
      <w:rFonts w:ascii="Consolas" w:hAnsi="Consolas" w:cs="Consolas"/>
      <w:sz w:val="20"/>
      <w:szCs w:val="20"/>
    </w:rPr>
  </w:style>
  <w:style w:type="character" w:styleId="VariabileHTML">
    <w:name w:val="HTML Variable"/>
    <w:basedOn w:val="Carpredefinitoparagrafo"/>
    <w:semiHidden/>
    <w:rsid w:val="006544C4"/>
    <w:rPr>
      <w:i/>
      <w:iCs/>
    </w:rPr>
  </w:style>
  <w:style w:type="paragraph" w:styleId="Indice1">
    <w:name w:val="index 1"/>
    <w:basedOn w:val="Normale"/>
    <w:next w:val="Normale"/>
    <w:autoRedefine/>
    <w:uiPriority w:val="99"/>
    <w:semiHidden/>
    <w:rsid w:val="006544C4"/>
    <w:pPr>
      <w:ind w:left="240" w:hanging="240"/>
    </w:pPr>
  </w:style>
  <w:style w:type="paragraph" w:styleId="Indice2">
    <w:name w:val="index 2"/>
    <w:basedOn w:val="Normale"/>
    <w:next w:val="Normale"/>
    <w:autoRedefine/>
    <w:semiHidden/>
    <w:rsid w:val="006544C4"/>
    <w:pPr>
      <w:ind w:left="480" w:hanging="240"/>
    </w:pPr>
  </w:style>
  <w:style w:type="paragraph" w:styleId="Indice3">
    <w:name w:val="index 3"/>
    <w:basedOn w:val="Normale"/>
    <w:next w:val="Normale"/>
    <w:autoRedefine/>
    <w:uiPriority w:val="99"/>
    <w:semiHidden/>
    <w:rsid w:val="006544C4"/>
    <w:pPr>
      <w:ind w:left="720" w:hanging="240"/>
    </w:pPr>
  </w:style>
  <w:style w:type="paragraph" w:styleId="Indice4">
    <w:name w:val="index 4"/>
    <w:basedOn w:val="Normale"/>
    <w:next w:val="Normale"/>
    <w:autoRedefine/>
    <w:uiPriority w:val="99"/>
    <w:semiHidden/>
    <w:rsid w:val="006544C4"/>
    <w:pPr>
      <w:ind w:left="960" w:hanging="240"/>
    </w:pPr>
  </w:style>
  <w:style w:type="paragraph" w:styleId="Indice5">
    <w:name w:val="index 5"/>
    <w:basedOn w:val="Normale"/>
    <w:next w:val="Normale"/>
    <w:autoRedefine/>
    <w:uiPriority w:val="99"/>
    <w:semiHidden/>
    <w:rsid w:val="006544C4"/>
    <w:pPr>
      <w:ind w:left="1200" w:hanging="240"/>
    </w:pPr>
  </w:style>
  <w:style w:type="paragraph" w:styleId="Indice6">
    <w:name w:val="index 6"/>
    <w:basedOn w:val="Normale"/>
    <w:next w:val="Normale"/>
    <w:autoRedefine/>
    <w:semiHidden/>
    <w:rsid w:val="006544C4"/>
    <w:pPr>
      <w:ind w:left="1440" w:hanging="240"/>
    </w:pPr>
  </w:style>
  <w:style w:type="paragraph" w:styleId="Indice7">
    <w:name w:val="index 7"/>
    <w:basedOn w:val="Normale"/>
    <w:next w:val="Normale"/>
    <w:autoRedefine/>
    <w:uiPriority w:val="99"/>
    <w:semiHidden/>
    <w:rsid w:val="006544C4"/>
    <w:pPr>
      <w:ind w:left="1680" w:hanging="240"/>
    </w:pPr>
  </w:style>
  <w:style w:type="paragraph" w:styleId="Indice8">
    <w:name w:val="index 8"/>
    <w:basedOn w:val="Normale"/>
    <w:next w:val="Normale"/>
    <w:autoRedefine/>
    <w:semiHidden/>
    <w:rsid w:val="006544C4"/>
    <w:pPr>
      <w:ind w:left="1920" w:hanging="240"/>
    </w:pPr>
  </w:style>
  <w:style w:type="paragraph" w:styleId="Indice9">
    <w:name w:val="index 9"/>
    <w:basedOn w:val="Normale"/>
    <w:next w:val="Normale"/>
    <w:autoRedefine/>
    <w:uiPriority w:val="99"/>
    <w:semiHidden/>
    <w:rsid w:val="006544C4"/>
    <w:pPr>
      <w:ind w:left="2160" w:hanging="240"/>
    </w:pPr>
  </w:style>
  <w:style w:type="paragraph" w:styleId="Titoloindice">
    <w:name w:val="index heading"/>
    <w:basedOn w:val="Normale"/>
    <w:next w:val="Indice1"/>
    <w:semiHidden/>
    <w:rsid w:val="006544C4"/>
    <w:rPr>
      <w:rFonts w:asciiTheme="majorHAnsi" w:eastAsiaTheme="majorEastAsia" w:hAnsiTheme="majorHAnsi" w:cstheme="majorBidi"/>
      <w:b/>
      <w:bCs/>
    </w:rPr>
  </w:style>
  <w:style w:type="table" w:styleId="Grigliachiara">
    <w:name w:val="Light Grid"/>
    <w:basedOn w:val="Tabellanormale"/>
    <w:uiPriority w:val="99"/>
    <w:semiHidden/>
    <w:rsid w:val="006544C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6544C4"/>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6544C4"/>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6544C4"/>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6544C4"/>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6544C4"/>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6544C4"/>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6544C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6544C4"/>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6544C4"/>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6544C4"/>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6544C4"/>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6544C4"/>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6544C4"/>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6544C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6544C4"/>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6544C4"/>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6544C4"/>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6544C4"/>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6544C4"/>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6544C4"/>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semiHidden/>
    <w:rsid w:val="006544C4"/>
  </w:style>
  <w:style w:type="paragraph" w:styleId="Elenco">
    <w:name w:val="List"/>
    <w:basedOn w:val="Normale"/>
    <w:uiPriority w:val="99"/>
    <w:semiHidden/>
    <w:rsid w:val="006544C4"/>
    <w:pPr>
      <w:ind w:left="283" w:hanging="283"/>
      <w:contextualSpacing/>
    </w:pPr>
  </w:style>
  <w:style w:type="paragraph" w:styleId="Elenco2">
    <w:name w:val="List 2"/>
    <w:basedOn w:val="Normale"/>
    <w:semiHidden/>
    <w:rsid w:val="006544C4"/>
    <w:pPr>
      <w:ind w:left="566" w:hanging="283"/>
      <w:contextualSpacing/>
    </w:pPr>
  </w:style>
  <w:style w:type="paragraph" w:styleId="Elenco3">
    <w:name w:val="List 3"/>
    <w:basedOn w:val="Normale"/>
    <w:uiPriority w:val="99"/>
    <w:semiHidden/>
    <w:rsid w:val="006544C4"/>
    <w:pPr>
      <w:ind w:left="849" w:hanging="283"/>
      <w:contextualSpacing/>
    </w:pPr>
  </w:style>
  <w:style w:type="paragraph" w:styleId="Elenco4">
    <w:name w:val="List 4"/>
    <w:basedOn w:val="Normale"/>
    <w:semiHidden/>
    <w:rsid w:val="006544C4"/>
    <w:pPr>
      <w:ind w:left="1132" w:hanging="283"/>
      <w:contextualSpacing/>
    </w:pPr>
  </w:style>
  <w:style w:type="paragraph" w:styleId="Elenco5">
    <w:name w:val="List 5"/>
    <w:basedOn w:val="Normale"/>
    <w:uiPriority w:val="99"/>
    <w:semiHidden/>
    <w:rsid w:val="006544C4"/>
    <w:pPr>
      <w:ind w:left="1415" w:hanging="283"/>
      <w:contextualSpacing/>
    </w:pPr>
  </w:style>
  <w:style w:type="paragraph" w:styleId="Puntoelenco">
    <w:name w:val="List Bullet"/>
    <w:basedOn w:val="Normale"/>
    <w:uiPriority w:val="99"/>
    <w:semiHidden/>
    <w:rsid w:val="006544C4"/>
    <w:pPr>
      <w:numPr>
        <w:numId w:val="15"/>
      </w:numPr>
      <w:contextualSpacing/>
    </w:pPr>
  </w:style>
  <w:style w:type="paragraph" w:styleId="Puntoelenco4">
    <w:name w:val="List Bullet 4"/>
    <w:basedOn w:val="Normale"/>
    <w:uiPriority w:val="99"/>
    <w:semiHidden/>
    <w:rsid w:val="006544C4"/>
    <w:pPr>
      <w:numPr>
        <w:numId w:val="16"/>
      </w:numPr>
      <w:contextualSpacing/>
    </w:pPr>
  </w:style>
  <w:style w:type="paragraph" w:styleId="Puntoelenco5">
    <w:name w:val="List Bullet 5"/>
    <w:basedOn w:val="Normale"/>
    <w:semiHidden/>
    <w:rsid w:val="006544C4"/>
    <w:pPr>
      <w:numPr>
        <w:numId w:val="17"/>
      </w:numPr>
      <w:contextualSpacing/>
    </w:pPr>
  </w:style>
  <w:style w:type="paragraph" w:styleId="Elencocontinua">
    <w:name w:val="List Continue"/>
    <w:basedOn w:val="Normale"/>
    <w:uiPriority w:val="99"/>
    <w:semiHidden/>
    <w:rsid w:val="006544C4"/>
    <w:pPr>
      <w:spacing w:after="120"/>
      <w:ind w:left="283"/>
      <w:contextualSpacing/>
    </w:pPr>
  </w:style>
  <w:style w:type="paragraph" w:styleId="Elencocontinua2">
    <w:name w:val="List Continue 2"/>
    <w:basedOn w:val="Normale"/>
    <w:semiHidden/>
    <w:rsid w:val="006544C4"/>
    <w:pPr>
      <w:spacing w:after="120"/>
      <w:ind w:left="566"/>
      <w:contextualSpacing/>
    </w:pPr>
  </w:style>
  <w:style w:type="paragraph" w:styleId="Elencocontinua3">
    <w:name w:val="List Continue 3"/>
    <w:basedOn w:val="Normale"/>
    <w:uiPriority w:val="99"/>
    <w:semiHidden/>
    <w:rsid w:val="006544C4"/>
    <w:pPr>
      <w:spacing w:after="120"/>
      <w:ind w:left="849"/>
      <w:contextualSpacing/>
    </w:pPr>
  </w:style>
  <w:style w:type="paragraph" w:styleId="Elencocontinua4">
    <w:name w:val="List Continue 4"/>
    <w:basedOn w:val="Normale"/>
    <w:uiPriority w:val="99"/>
    <w:semiHidden/>
    <w:rsid w:val="006544C4"/>
    <w:pPr>
      <w:spacing w:after="120"/>
      <w:ind w:left="1132"/>
      <w:contextualSpacing/>
    </w:pPr>
  </w:style>
  <w:style w:type="paragraph" w:styleId="Elencocontinua5">
    <w:name w:val="List Continue 5"/>
    <w:basedOn w:val="Normale"/>
    <w:uiPriority w:val="99"/>
    <w:semiHidden/>
    <w:rsid w:val="006544C4"/>
    <w:pPr>
      <w:spacing w:after="120"/>
      <w:ind w:left="1415"/>
      <w:contextualSpacing/>
    </w:pPr>
  </w:style>
  <w:style w:type="paragraph" w:styleId="Numeroelenco">
    <w:name w:val="List Number"/>
    <w:basedOn w:val="Normale"/>
    <w:semiHidden/>
    <w:rsid w:val="006544C4"/>
    <w:pPr>
      <w:numPr>
        <w:numId w:val="18"/>
      </w:numPr>
      <w:contextualSpacing/>
    </w:pPr>
  </w:style>
  <w:style w:type="paragraph" w:styleId="Numeroelenco2">
    <w:name w:val="List Number 2"/>
    <w:basedOn w:val="Normale"/>
    <w:uiPriority w:val="99"/>
    <w:semiHidden/>
    <w:rsid w:val="006544C4"/>
    <w:pPr>
      <w:numPr>
        <w:numId w:val="19"/>
      </w:numPr>
      <w:contextualSpacing/>
    </w:pPr>
  </w:style>
  <w:style w:type="paragraph" w:styleId="Numeroelenco3">
    <w:name w:val="List Number 3"/>
    <w:basedOn w:val="Normale"/>
    <w:semiHidden/>
    <w:rsid w:val="006544C4"/>
    <w:pPr>
      <w:numPr>
        <w:numId w:val="20"/>
      </w:numPr>
      <w:contextualSpacing/>
    </w:pPr>
  </w:style>
  <w:style w:type="paragraph" w:styleId="Numeroelenco4">
    <w:name w:val="List Number 4"/>
    <w:basedOn w:val="Normale"/>
    <w:uiPriority w:val="99"/>
    <w:semiHidden/>
    <w:rsid w:val="006544C4"/>
    <w:pPr>
      <w:numPr>
        <w:numId w:val="21"/>
      </w:numPr>
      <w:contextualSpacing/>
    </w:pPr>
  </w:style>
  <w:style w:type="paragraph" w:styleId="Numeroelenco5">
    <w:name w:val="List Number 5"/>
    <w:basedOn w:val="Normale"/>
    <w:semiHidden/>
    <w:rsid w:val="006544C4"/>
    <w:pPr>
      <w:numPr>
        <w:numId w:val="22"/>
      </w:numPr>
      <w:contextualSpacing/>
    </w:pPr>
  </w:style>
  <w:style w:type="paragraph" w:styleId="Testomacro">
    <w:name w:val="macro"/>
    <w:link w:val="TestomacroCarattere"/>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rsid w:val="006544C4"/>
    <w:rPr>
      <w:rFonts w:ascii="Consolas" w:eastAsiaTheme="minorEastAsia" w:hAnsi="Consolas" w:cs="Consolas"/>
      <w:sz w:val="20"/>
      <w:szCs w:val="20"/>
    </w:rPr>
  </w:style>
  <w:style w:type="table" w:styleId="Grigliamedia1">
    <w:name w:val="Medium Grid 1"/>
    <w:basedOn w:val="Tabellanormale"/>
    <w:uiPriority w:val="67"/>
    <w:semiHidden/>
    <w:rsid w:val="006544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6544C4"/>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6544C4"/>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6544C4"/>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6544C4"/>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6544C4"/>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6544C4"/>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6544C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6544C4"/>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6544C4"/>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6544C4"/>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6544C4"/>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6544C4"/>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6544C4"/>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6544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6544C4"/>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6544C4"/>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6544C4"/>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6544C4"/>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6544C4"/>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6544C4"/>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rsid w:val="006544C4"/>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6544C4"/>
    <w:rPr>
      <w:rFonts w:ascii="Times New Roman" w:hAnsi="Times New Roman" w:cs="Times New Roman"/>
      <w:szCs w:val="24"/>
    </w:rPr>
  </w:style>
  <w:style w:type="paragraph" w:styleId="Rientronormale">
    <w:name w:val="Normal Indent"/>
    <w:basedOn w:val="Normale"/>
    <w:uiPriority w:val="99"/>
    <w:semiHidden/>
    <w:rsid w:val="006544C4"/>
    <w:pPr>
      <w:ind w:left="720"/>
    </w:pPr>
  </w:style>
  <w:style w:type="paragraph" w:styleId="Intestazionenota">
    <w:name w:val="Note Heading"/>
    <w:basedOn w:val="Normale"/>
    <w:next w:val="Normale"/>
    <w:link w:val="IntestazionenotaCarattere"/>
    <w:uiPriority w:val="99"/>
    <w:semiHidden/>
    <w:rsid w:val="006544C4"/>
  </w:style>
  <w:style w:type="character" w:customStyle="1" w:styleId="IntestazionenotaCarattere">
    <w:name w:val="Intestazione nota Carattere"/>
    <w:basedOn w:val="Carpredefinitoparagrafo"/>
    <w:link w:val="Intestazionenota"/>
    <w:rsid w:val="006544C4"/>
    <w:rPr>
      <w:rFonts w:eastAsiaTheme="minorEastAsia"/>
      <w:sz w:val="24"/>
    </w:rPr>
  </w:style>
  <w:style w:type="character" w:styleId="Testosegnaposto">
    <w:name w:val="Placeholder Text"/>
    <w:basedOn w:val="Carpredefinitoparagrafo"/>
    <w:uiPriority w:val="99"/>
    <w:semiHidden/>
    <w:rsid w:val="006544C4"/>
    <w:rPr>
      <w:color w:val="808080"/>
    </w:rPr>
  </w:style>
  <w:style w:type="paragraph" w:styleId="Testonormale">
    <w:name w:val="Plain Text"/>
    <w:basedOn w:val="Normale"/>
    <w:link w:val="TestonormaleCarattere"/>
    <w:uiPriority w:val="99"/>
    <w:semiHidden/>
    <w:rsid w:val="006544C4"/>
    <w:rPr>
      <w:rFonts w:ascii="Consolas" w:hAnsi="Consolas" w:cs="Consolas"/>
      <w:sz w:val="21"/>
      <w:szCs w:val="21"/>
    </w:rPr>
  </w:style>
  <w:style w:type="character" w:customStyle="1" w:styleId="TestonormaleCarattere">
    <w:name w:val="Testo normale Carattere"/>
    <w:basedOn w:val="Carpredefinitoparagrafo"/>
    <w:link w:val="Testonormale"/>
    <w:rsid w:val="006544C4"/>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6544C4"/>
  </w:style>
  <w:style w:type="character" w:customStyle="1" w:styleId="FormuladiaperturaCarattere">
    <w:name w:val="Formula di apertura Carattere"/>
    <w:basedOn w:val="Carpredefinitoparagrafo"/>
    <w:link w:val="Formuladiapertura"/>
    <w:rsid w:val="006544C4"/>
    <w:rPr>
      <w:rFonts w:eastAsiaTheme="minorEastAsia"/>
      <w:sz w:val="24"/>
    </w:rPr>
  </w:style>
  <w:style w:type="paragraph" w:styleId="Firma">
    <w:name w:val="Signature"/>
    <w:basedOn w:val="Normale"/>
    <w:link w:val="FirmaCarattere"/>
    <w:uiPriority w:val="99"/>
    <w:semiHidden/>
    <w:rsid w:val="006544C4"/>
    <w:pPr>
      <w:ind w:left="4252"/>
    </w:pPr>
  </w:style>
  <w:style w:type="character" w:customStyle="1" w:styleId="FirmaCarattere">
    <w:name w:val="Firma Carattere"/>
    <w:basedOn w:val="Carpredefinitoparagrafo"/>
    <w:link w:val="Firma"/>
    <w:rsid w:val="006544C4"/>
    <w:rPr>
      <w:rFonts w:eastAsiaTheme="minorEastAsia"/>
      <w:sz w:val="24"/>
    </w:rPr>
  </w:style>
  <w:style w:type="table" w:styleId="Tabellaeffetti3D1">
    <w:name w:val="Table 3D effects 1"/>
    <w:basedOn w:val="Tabellanormale"/>
    <w:uiPriority w:val="99"/>
    <w:semiHidden/>
    <w:unhideWhenUsed/>
    <w:rsid w:val="006544C4"/>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44C4"/>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44C4"/>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6544C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44C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44C4"/>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44C4"/>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6544C4"/>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44C4"/>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44C4"/>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6544C4"/>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44C4"/>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44C4"/>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44C4"/>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44C4"/>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6544C4"/>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6544C4"/>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6544C4"/>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6544C4"/>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6544C4"/>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6544C4"/>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6544C4"/>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6544C4"/>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6544C4"/>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6544C4"/>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6544C4"/>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6544C4"/>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6544C4"/>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6544C4"/>
    <w:pPr>
      <w:ind w:left="240" w:hanging="240"/>
    </w:pPr>
  </w:style>
  <w:style w:type="paragraph" w:styleId="Indicedellefigure">
    <w:name w:val="table of figures"/>
    <w:basedOn w:val="Normale"/>
    <w:next w:val="Normale"/>
    <w:uiPriority w:val="99"/>
    <w:semiHidden/>
    <w:rsid w:val="006544C4"/>
  </w:style>
  <w:style w:type="table" w:styleId="Tabellaprofessionale">
    <w:name w:val="Table Professional"/>
    <w:basedOn w:val="Tabellanormale"/>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6544C4"/>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44C4"/>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44C4"/>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6544C4"/>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44C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aWeb1">
    <w:name w:val="Table Web 1"/>
    <w:basedOn w:val="Tabellanormale"/>
    <w:uiPriority w:val="99"/>
    <w:semiHidden/>
    <w:unhideWhenUsed/>
    <w:rsid w:val="006544C4"/>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44C4"/>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6544C4"/>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6544C4"/>
    <w:pPr>
      <w:spacing w:after="100"/>
      <w:ind w:left="1200"/>
    </w:pPr>
  </w:style>
  <w:style w:type="paragraph" w:styleId="Sommario7">
    <w:name w:val="toc 7"/>
    <w:basedOn w:val="Normale"/>
    <w:next w:val="Normale"/>
    <w:autoRedefine/>
    <w:uiPriority w:val="99"/>
    <w:semiHidden/>
    <w:rsid w:val="006544C4"/>
    <w:pPr>
      <w:spacing w:after="100"/>
      <w:ind w:left="1440"/>
    </w:pPr>
  </w:style>
  <w:style w:type="paragraph" w:styleId="Sommario8">
    <w:name w:val="toc 8"/>
    <w:basedOn w:val="Normale"/>
    <w:next w:val="Normale"/>
    <w:autoRedefine/>
    <w:uiPriority w:val="99"/>
    <w:semiHidden/>
    <w:rsid w:val="006544C4"/>
    <w:pPr>
      <w:spacing w:after="100"/>
      <w:ind w:left="1680"/>
    </w:pPr>
  </w:style>
  <w:style w:type="paragraph" w:styleId="Sommario9">
    <w:name w:val="toc 9"/>
    <w:basedOn w:val="Normale"/>
    <w:next w:val="Normale"/>
    <w:autoRedefine/>
    <w:uiPriority w:val="99"/>
    <w:semiHidden/>
    <w:rsid w:val="006544C4"/>
    <w:pPr>
      <w:spacing w:after="100"/>
      <w:ind w:left="1920"/>
    </w:pPr>
  </w:style>
  <w:style w:type="paragraph" w:customStyle="1" w:styleId="JuParaChar">
    <w:name w:val="Ju_Para Char"/>
    <w:basedOn w:val="Normale"/>
    <w:link w:val="JuParaCharChar"/>
    <w:rsid w:val="00201B2B"/>
    <w:pPr>
      <w:ind w:firstLine="284"/>
    </w:pPr>
  </w:style>
  <w:style w:type="character" w:customStyle="1" w:styleId="JuParaCharChar">
    <w:name w:val="Ju_Para Char Char"/>
    <w:link w:val="JuParaChar"/>
    <w:rsid w:val="00201B2B"/>
    <w:rPr>
      <w:rFonts w:eastAsiaTheme="minorEastAsia"/>
      <w:sz w:val="24"/>
    </w:rPr>
  </w:style>
  <w:style w:type="paragraph" w:customStyle="1" w:styleId="ECHRFooter">
    <w:name w:val="ECHR_Footer"/>
    <w:aliases w:val="Footer_ECHR"/>
    <w:basedOn w:val="Pidipagina"/>
    <w:uiPriority w:val="57"/>
    <w:semiHidden/>
    <w:rsid w:val="00201B2B"/>
    <w:pPr>
      <w:jc w:val="left"/>
    </w:pPr>
    <w:rPr>
      <w:rFonts w:eastAsiaTheme="minorHAnsi"/>
      <w:sz w:val="8"/>
    </w:rPr>
  </w:style>
  <w:style w:type="character" w:customStyle="1" w:styleId="JuHHeadChar">
    <w:name w:val="Ju_H_Head Char"/>
    <w:basedOn w:val="Carpredefinitoparagrafo"/>
    <w:link w:val="ECHRTitle1"/>
    <w:uiPriority w:val="18"/>
    <w:rsid w:val="00201B2B"/>
    <w:rPr>
      <w:rFonts w:asciiTheme="majorHAnsi" w:eastAsiaTheme="minorEastAsia" w:hAnsiTheme="majorHAnsi"/>
      <w:sz w:val="28"/>
    </w:rPr>
  </w:style>
  <w:style w:type="paragraph" w:customStyle="1" w:styleId="ECHRFooterLine">
    <w:name w:val="ECHR_Footer_Line"/>
    <w:aliases w:val="Footer_Line"/>
    <w:basedOn w:val="Normale"/>
    <w:next w:val="ECHRFooter"/>
    <w:uiPriority w:val="57"/>
    <w:semiHidden/>
    <w:rsid w:val="00201B2B"/>
    <w:pPr>
      <w:pBdr>
        <w:top w:val="single" w:sz="6" w:space="1" w:color="5F5F5F"/>
      </w:pBdr>
      <w:tabs>
        <w:tab w:val="center" w:pos="4536"/>
        <w:tab w:val="right" w:pos="9696"/>
      </w:tabs>
      <w:ind w:left="-680" w:right="-680"/>
      <w:jc w:val="left"/>
    </w:pPr>
    <w:rPr>
      <w:color w:val="5F5F5F"/>
    </w:rPr>
  </w:style>
  <w:style w:type="paragraph" w:customStyle="1" w:styleId="JuCase">
    <w:name w:val="Ju_Case"/>
    <w:basedOn w:val="Normale"/>
    <w:next w:val="ECHRPara"/>
    <w:uiPriority w:val="10"/>
    <w:semiHidden/>
    <w:rsid w:val="00201B2B"/>
    <w:pPr>
      <w:ind w:firstLine="284"/>
    </w:pPr>
    <w:rPr>
      <w:b/>
    </w:rPr>
  </w:style>
  <w:style w:type="character" w:customStyle="1" w:styleId="DecHTitleChar">
    <w:name w:val="Dec_H_Title Char"/>
    <w:basedOn w:val="Carpredefinitoparagrafo"/>
    <w:link w:val="DecHTitle"/>
    <w:uiPriority w:val="7"/>
    <w:rsid w:val="00201B2B"/>
    <w:rPr>
      <w:rFonts w:asciiTheme="majorHAnsi" w:eastAsiaTheme="minorEastAsia" w:hAnsiTheme="majorHAnsi"/>
      <w:sz w:val="28"/>
    </w:rPr>
  </w:style>
  <w:style w:type="character" w:customStyle="1" w:styleId="JuHAChar">
    <w:name w:val="Ju_H_A Char"/>
    <w:basedOn w:val="Carpredefinitoparagrafo"/>
    <w:link w:val="ECHRHeading2"/>
    <w:uiPriority w:val="20"/>
    <w:rsid w:val="00201B2B"/>
    <w:rPr>
      <w:rFonts w:asciiTheme="majorHAnsi" w:eastAsiaTheme="majorEastAsia" w:hAnsiTheme="majorHAnsi" w:cstheme="majorBidi"/>
      <w:b/>
      <w:bCs/>
      <w:sz w:val="24"/>
      <w:szCs w:val="26"/>
    </w:rPr>
  </w:style>
  <w:style w:type="character" w:customStyle="1" w:styleId="JuSignedChar">
    <w:name w:val="Ju_Signed Char"/>
    <w:basedOn w:val="Carpredefinitoparagrafo"/>
    <w:link w:val="JuSigned"/>
    <w:uiPriority w:val="32"/>
    <w:rsid w:val="00201B2B"/>
    <w:rPr>
      <w:rFonts w:eastAsiaTheme="minorEastAsia"/>
      <w:sz w:val="24"/>
    </w:rPr>
  </w:style>
  <w:style w:type="character" w:customStyle="1" w:styleId="JuParaLastChar">
    <w:name w:val="Ju_Para_Last Char"/>
    <w:basedOn w:val="Carpredefinitoparagrafo"/>
    <w:link w:val="JuParaLast"/>
    <w:uiPriority w:val="30"/>
    <w:rsid w:val="00201B2B"/>
    <w:rPr>
      <w:rFonts w:eastAsiaTheme="minorEastAsia"/>
      <w:sz w:val="24"/>
    </w:rPr>
  </w:style>
  <w:style w:type="character" w:customStyle="1" w:styleId="DecHCaseChar">
    <w:name w:val="Dec_H_Case Char"/>
    <w:basedOn w:val="DecHTitleChar"/>
    <w:link w:val="ECHRTitleCentre2"/>
    <w:uiPriority w:val="8"/>
    <w:rsid w:val="00201B2B"/>
    <w:rPr>
      <w:rFonts w:asciiTheme="majorHAnsi" w:eastAsiaTheme="minorEastAsia" w:hAnsiTheme="majorHAnsi"/>
      <w:sz w:val="24"/>
    </w:rPr>
  </w:style>
  <w:style w:type="character" w:customStyle="1" w:styleId="DecListChar">
    <w:name w:val="Dec_List Char"/>
    <w:basedOn w:val="Carpredefinitoparagrafo"/>
    <w:link w:val="DecList"/>
    <w:uiPriority w:val="9"/>
    <w:rsid w:val="00201B2B"/>
    <w:rPr>
      <w:rFonts w:eastAsiaTheme="minorEastAsia"/>
      <w:sz w:val="24"/>
    </w:rPr>
  </w:style>
  <w:style w:type="numbering" w:customStyle="1" w:styleId="ECHRA1StyleBulletedSquare">
    <w:name w:val="ECHR_A1_Style_Bulleted_Square"/>
    <w:basedOn w:val="Nessunelenco"/>
    <w:rsid w:val="00201B2B"/>
    <w:pPr>
      <w:numPr>
        <w:numId w:val="23"/>
      </w:numPr>
    </w:pPr>
  </w:style>
  <w:style w:type="paragraph" w:customStyle="1" w:styleId="ECHRBullet1">
    <w:name w:val="ECHR_Bullet_1"/>
    <w:aliases w:val="Bul_1"/>
    <w:basedOn w:val="Normale"/>
    <w:uiPriority w:val="8"/>
    <w:qFormat/>
    <w:rsid w:val="00201B2B"/>
    <w:pPr>
      <w:numPr>
        <w:numId w:val="23"/>
      </w:numPr>
      <w:spacing w:before="60" w:after="60"/>
      <w:contextualSpacing/>
    </w:pPr>
    <w:rPr>
      <w:sz w:val="22"/>
    </w:rPr>
  </w:style>
  <w:style w:type="paragraph" w:customStyle="1" w:styleId="ECHRBullet2">
    <w:name w:val="ECHR_Bullet_2"/>
    <w:aliases w:val="Bul_2"/>
    <w:basedOn w:val="ECHRBullet1"/>
    <w:uiPriority w:val="8"/>
    <w:rsid w:val="00201B2B"/>
    <w:pPr>
      <w:numPr>
        <w:ilvl w:val="1"/>
      </w:numPr>
    </w:pPr>
  </w:style>
  <w:style w:type="paragraph" w:customStyle="1" w:styleId="ECHRBullet3">
    <w:name w:val="ECHR_Bullet_3"/>
    <w:aliases w:val="Bul_3"/>
    <w:basedOn w:val="ECHRBullet2"/>
    <w:uiPriority w:val="8"/>
    <w:rsid w:val="00201B2B"/>
    <w:pPr>
      <w:numPr>
        <w:ilvl w:val="2"/>
      </w:numPr>
    </w:pPr>
  </w:style>
  <w:style w:type="paragraph" w:customStyle="1" w:styleId="ECHRBullet4">
    <w:name w:val="ECHR_Bullet_4"/>
    <w:aliases w:val="Bul_4"/>
    <w:basedOn w:val="ECHRBullet3"/>
    <w:uiPriority w:val="8"/>
    <w:rsid w:val="00201B2B"/>
    <w:pPr>
      <w:numPr>
        <w:ilvl w:val="3"/>
      </w:numPr>
    </w:pPr>
  </w:style>
  <w:style w:type="character" w:customStyle="1" w:styleId="ECHRParaChar">
    <w:name w:val="ECHR_Para Char"/>
    <w:aliases w:val="Para Char"/>
    <w:basedOn w:val="Carpredefinitoparagrafo"/>
    <w:link w:val="ECHRPara"/>
    <w:locked/>
    <w:rsid w:val="00201B2B"/>
    <w:rPr>
      <w:rFonts w:eastAsiaTheme="minorEastAsia"/>
      <w:sz w:val="24"/>
    </w:rPr>
  </w:style>
  <w:style w:type="character" w:customStyle="1" w:styleId="JuTitleChar">
    <w:name w:val="Ju_Title Char"/>
    <w:link w:val="JuTitle"/>
    <w:rsid w:val="00201B2B"/>
    <w:rPr>
      <w:rFonts w:asciiTheme="majorHAnsi" w:eastAsiaTheme="minorEastAsia" w:hAnsiTheme="majorHAnsi"/>
      <w:b/>
      <w:caps/>
      <w:sz w:val="24"/>
    </w:rPr>
  </w:style>
  <w:style w:type="character" w:customStyle="1" w:styleId="s6b621b36">
    <w:name w:val="s6b621b36"/>
    <w:basedOn w:val="Carpredefinitoparagrafo"/>
    <w:rsid w:val="00201B2B"/>
  </w:style>
  <w:style w:type="character" w:customStyle="1" w:styleId="sb8d990e2">
    <w:name w:val="sb8d990e2"/>
    <w:basedOn w:val="Carpredefinitoparagrafo"/>
    <w:rsid w:val="00201B2B"/>
  </w:style>
  <w:style w:type="character" w:customStyle="1" w:styleId="sea881cdfhasverticalalignsuper">
    <w:name w:val="sea881cdf hasverticalalignsuper"/>
    <w:basedOn w:val="Carpredefinitoparagrafo"/>
    <w:rsid w:val="00201B2B"/>
  </w:style>
  <w:style w:type="character" w:customStyle="1" w:styleId="JuParaCar">
    <w:name w:val="Ju_Para Car"/>
    <w:rsid w:val="00201B2B"/>
    <w:rPr>
      <w:rFonts w:eastAsiaTheme="minorEastAsia"/>
      <w:sz w:val="24"/>
    </w:rPr>
  </w:style>
  <w:style w:type="character" w:customStyle="1" w:styleId="JuHIRomanChar">
    <w:name w:val="Ju_H_I_Roman Char"/>
    <w:link w:val="ECHRHeading1"/>
    <w:uiPriority w:val="19"/>
    <w:rsid w:val="00201B2B"/>
    <w:rPr>
      <w:rFonts w:asciiTheme="majorHAnsi" w:eastAsiaTheme="majorEastAsia" w:hAnsiTheme="majorHAnsi" w:cstheme="majorBidi"/>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DF98E-0764-4C1B-953E-6451B5F25F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8962BF-495B-49FF-971B-282D92CB3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F2A10B4-4310-4D5E-A152-7426AA5E70AA}">
  <ds:schemaRefs>
    <ds:schemaRef ds:uri="http://schemas.microsoft.com/sharepoint/v3/contenttype/forms"/>
  </ds:schemaRefs>
</ds:datastoreItem>
</file>

<file path=customXml/itemProps4.xml><?xml version="1.0" encoding="utf-8"?>
<ds:datastoreItem xmlns:ds="http://schemas.openxmlformats.org/officeDocument/2006/customXml" ds:itemID="{F0DD958C-21F1-40A3-B9FD-902E2C052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4234</Words>
  <Characters>24140</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ECHR</vt:lpstr>
    </vt:vector>
  </TitlesOfParts>
  <LinksUpToDate>false</LinksUpToDate>
  <CharactersWithSpaces>28318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2014-05-21T17:02:00Z</dcterms:created>
  <dcterms:modified xsi:type="dcterms:W3CDTF">2014-05-21T17:02:00Z</dcterms:modified>
  <cp:category>ECHR Template</cp:category>
</cp:coreProperties>
</file>